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仿宋" w:eastAsia="仿宋" w:hAnsi="仿宋"/>
          <w:b/>
          <w:color w:val="000000"/>
        </w:rPr>
      </w:pPr>
      <w:r>
        <w:rPr>
          <w:rFonts w:ascii="仿宋" w:eastAsia="仿宋" w:hAnsi="仿宋" w:hint="eastAsia"/>
          <w:b/>
          <w:color w:val="000000"/>
        </w:rPr>
        <w:t>附件2：</w:t>
      </w:r>
    </w:p>
    <w:p w:rsidR="008743A5" w:rsidRP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jc w:val="center"/>
        <w:rPr>
          <w:rFonts w:ascii="宋体" w:hAnsi="宋体"/>
          <w:b/>
          <w:color w:val="000000"/>
        </w:rPr>
      </w:pPr>
      <w:r w:rsidRPr="008743A5">
        <w:rPr>
          <w:rFonts w:ascii="宋体" w:hAnsi="宋体" w:cs="宋体" w:hint="eastAsia"/>
          <w:b/>
          <w:color w:val="000000"/>
          <w:sz w:val="28"/>
          <w:szCs w:val="28"/>
        </w:rPr>
        <w:t>案例相关</w:t>
      </w:r>
      <w:r w:rsidRPr="008743A5">
        <w:rPr>
          <w:rFonts w:ascii="宋体" w:hAnsi="宋体"/>
          <w:b/>
          <w:color w:val="000000"/>
          <w:sz w:val="28"/>
          <w:szCs w:val="28"/>
        </w:rPr>
        <w:t>要求</w:t>
      </w:r>
    </w:p>
    <w:p w:rsidR="008743A5" w:rsidRPr="007471BE" w:rsidRDefault="007471BE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/>
          <w:b/>
          <w:color w:val="000000"/>
        </w:rPr>
      </w:pPr>
      <w:r w:rsidRPr="007471BE">
        <w:rPr>
          <w:rFonts w:ascii="宋体" w:hAnsi="宋体" w:cs="宋体" w:hint="eastAsia"/>
          <w:b/>
          <w:color w:val="000000"/>
        </w:rPr>
        <w:t>一、</w:t>
      </w:r>
      <w:r w:rsidR="008743A5" w:rsidRPr="007471BE">
        <w:rPr>
          <w:rFonts w:ascii="宋体" w:hAnsi="宋体" w:cs="宋体" w:hint="eastAsia"/>
          <w:b/>
          <w:color w:val="000000"/>
        </w:rPr>
        <w:t>案例基本条件</w:t>
      </w:r>
    </w:p>
    <w:p w:rsidR="008743A5" w:rsidRP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/>
          <w:color w:val="000000"/>
        </w:rPr>
      </w:pPr>
      <w:r w:rsidRPr="007471BE">
        <w:rPr>
          <w:rFonts w:ascii="宋体" w:hAnsi="宋体" w:hint="eastAsia"/>
          <w:color w:val="000000"/>
        </w:rPr>
        <w:t>1.真实性。</w:t>
      </w:r>
      <w:r w:rsidRPr="008743A5">
        <w:rPr>
          <w:rFonts w:ascii="宋体" w:hAnsi="宋体" w:hint="eastAsia"/>
          <w:color w:val="000000"/>
        </w:rPr>
        <w:t>参赛案例所提供的材料应源于实际工作或实习经验，具有真实的服务主体、服务对象、服务内容、服务过程和服务效果。不得杜撰、移植或抄袭案例。</w:t>
      </w:r>
    </w:p>
    <w:p w:rsidR="008743A5" w:rsidRP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/>
          <w:color w:val="000000"/>
        </w:rPr>
      </w:pPr>
      <w:r w:rsidRPr="007471BE">
        <w:rPr>
          <w:rFonts w:ascii="宋体" w:hAnsi="宋体" w:hint="eastAsia"/>
          <w:color w:val="000000"/>
        </w:rPr>
        <w:t>2.专业性。</w:t>
      </w:r>
      <w:r w:rsidRPr="008743A5">
        <w:rPr>
          <w:rFonts w:ascii="宋体" w:hAnsi="宋体" w:hint="eastAsia"/>
          <w:color w:val="000000"/>
        </w:rPr>
        <w:t>参赛案例应具备社会工作专业要素，能够反映社会工作的专业理念、方法与技巧，能够体现社会工作的专业作用和专业成效。</w:t>
      </w:r>
    </w:p>
    <w:p w:rsidR="008743A5" w:rsidRP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/>
          <w:color w:val="000000"/>
        </w:rPr>
      </w:pPr>
      <w:r w:rsidRPr="008743A5">
        <w:rPr>
          <w:rFonts w:ascii="宋体" w:hAnsi="宋体" w:hint="eastAsia"/>
          <w:color w:val="000000"/>
        </w:rPr>
        <w:t>3.完整性。参赛案例应体现社会工作者已经完成并做过成效评估的服务。尚未开展、准备开展和正在开展的服务不能参加比赛。</w:t>
      </w:r>
    </w:p>
    <w:p w:rsidR="008743A5" w:rsidRP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/>
          <w:color w:val="000000"/>
        </w:rPr>
      </w:pPr>
      <w:r w:rsidRPr="008743A5">
        <w:rPr>
          <w:rFonts w:ascii="宋体" w:hAnsi="宋体" w:hint="eastAsia"/>
          <w:color w:val="000000"/>
        </w:rPr>
        <w:t>4.示范性。参赛案例应代表本领域社会工作服务开展的较高水平，服务内容及程序符合我国国情，对同类服务具有积极的示范作用。</w:t>
      </w:r>
    </w:p>
    <w:p w:rsidR="008743A5" w:rsidRP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/>
          <w:color w:val="000000"/>
        </w:rPr>
      </w:pPr>
      <w:r w:rsidRPr="008743A5">
        <w:rPr>
          <w:rFonts w:ascii="宋体" w:hAnsi="宋体" w:hint="eastAsia"/>
          <w:color w:val="000000"/>
        </w:rPr>
        <w:t>5.时效性。参赛案例应反映本领域近年最新社会工作服务情况。</w:t>
      </w:r>
    </w:p>
    <w:p w:rsidR="007471BE" w:rsidRDefault="007471BE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/>
          <w:b/>
          <w:color w:val="000000"/>
        </w:rPr>
      </w:pPr>
    </w:p>
    <w:p w:rsidR="008743A5" w:rsidRPr="007471BE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/>
          <w:b/>
          <w:color w:val="000000"/>
        </w:rPr>
      </w:pPr>
      <w:r w:rsidRPr="007471BE">
        <w:rPr>
          <w:rFonts w:ascii="宋体" w:hAnsi="宋体" w:hint="eastAsia"/>
          <w:b/>
          <w:color w:val="000000"/>
        </w:rPr>
        <w:t>二</w:t>
      </w:r>
      <w:r w:rsidR="007471BE">
        <w:rPr>
          <w:rFonts w:ascii="宋体" w:hAnsi="宋体" w:hint="eastAsia"/>
          <w:b/>
          <w:color w:val="000000"/>
        </w:rPr>
        <w:t>、</w:t>
      </w:r>
      <w:r w:rsidRPr="007471BE">
        <w:rPr>
          <w:rFonts w:ascii="宋体" w:hAnsi="宋体" w:hint="eastAsia"/>
          <w:b/>
          <w:color w:val="000000"/>
        </w:rPr>
        <w:t>案例类型及结构要求</w:t>
      </w:r>
    </w:p>
    <w:p w:rsidR="008743A5" w:rsidRP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/>
          <w:color w:val="000000"/>
        </w:rPr>
      </w:pPr>
      <w:r w:rsidRPr="008743A5">
        <w:rPr>
          <w:rFonts w:ascii="宋体" w:hAnsi="宋体"/>
          <w:color w:val="000000"/>
        </w:rPr>
        <w:t>所有参赛案例应符合下述</w:t>
      </w:r>
      <w:r w:rsidRPr="008743A5">
        <w:rPr>
          <w:rFonts w:ascii="宋体" w:hAnsi="宋体" w:cs="宋体" w:hint="eastAsia"/>
          <w:color w:val="000000"/>
        </w:rPr>
        <w:t>几类</w:t>
      </w:r>
      <w:r w:rsidRPr="008743A5">
        <w:rPr>
          <w:rFonts w:ascii="宋体" w:hAnsi="宋体"/>
          <w:color w:val="000000"/>
        </w:rPr>
        <w:t>要求</w:t>
      </w:r>
      <w:r w:rsidRPr="008743A5">
        <w:rPr>
          <w:rFonts w:ascii="宋体" w:hAnsi="宋体" w:cs="宋体" w:hint="eastAsia"/>
          <w:color w:val="000000"/>
        </w:rPr>
        <w:t>之一</w:t>
      </w:r>
      <w:r w:rsidRPr="008743A5">
        <w:rPr>
          <w:rFonts w:ascii="宋体" w:hAnsi="宋体"/>
          <w:color w:val="000000"/>
        </w:rPr>
        <w:t>，不合要求的不与评选。</w:t>
      </w:r>
    </w:p>
    <w:p w:rsidR="008743A5" w:rsidRPr="008743A5" w:rsidRDefault="008743A5" w:rsidP="008743A5">
      <w:pPr>
        <w:pStyle w:val="a3"/>
        <w:widowControl/>
        <w:shd w:val="clear" w:color="auto" w:fill="FFFFFF"/>
        <w:spacing w:beforeAutospacing="0" w:afterAutospacing="0" w:line="360" w:lineRule="auto"/>
        <w:ind w:firstLine="480"/>
        <w:contextualSpacing/>
        <w:textAlignment w:val="baseline"/>
        <w:rPr>
          <w:rFonts w:ascii="宋体" w:hAnsi="宋体"/>
          <w:color w:val="000000"/>
          <w:kern w:val="2"/>
        </w:rPr>
      </w:pPr>
      <w:r w:rsidRPr="008743A5">
        <w:rPr>
          <w:rFonts w:ascii="宋体" w:hAnsi="宋体" w:hint="eastAsia"/>
          <w:color w:val="000000"/>
          <w:kern w:val="2"/>
        </w:rPr>
        <w:t>1.个案工作案例由背景介绍、分析预估、服务计划（包括服务目标、服务策略、服务程序等等）、服务计划实施过程（正文中应重点描述服务如何开展，详细的工作记录、对话等文本可作为附件）、总结评估和专业反思六个部分构成。</w:t>
      </w:r>
    </w:p>
    <w:p w:rsidR="008743A5" w:rsidRPr="008743A5" w:rsidRDefault="008743A5" w:rsidP="008743A5">
      <w:pPr>
        <w:pStyle w:val="a3"/>
        <w:widowControl/>
        <w:shd w:val="clear" w:color="auto" w:fill="FFFFFF"/>
        <w:spacing w:beforeAutospacing="0" w:afterAutospacing="0" w:line="360" w:lineRule="auto"/>
        <w:ind w:firstLine="480"/>
        <w:contextualSpacing/>
        <w:textAlignment w:val="baseline"/>
        <w:rPr>
          <w:rFonts w:ascii="宋体" w:hAnsi="宋体"/>
          <w:color w:val="000000"/>
          <w:kern w:val="2"/>
        </w:rPr>
      </w:pPr>
      <w:r w:rsidRPr="008743A5">
        <w:rPr>
          <w:rFonts w:ascii="宋体" w:hAnsi="宋体" w:hint="eastAsia"/>
          <w:color w:val="000000"/>
          <w:kern w:val="2"/>
        </w:rPr>
        <w:t>2.小组工作案例由背景介绍、分析预估、服务计划（包括小组理念、小组目标、小组性质、对象、时间、小组程序等等）、服务计划实施过程（正文中应重点描述服务如何开展，详细的工作记录、对话等文本可作为附件）、总结评估和专业反思六个部分构成。</w:t>
      </w:r>
    </w:p>
    <w:p w:rsidR="008743A5" w:rsidRPr="008743A5" w:rsidRDefault="008743A5" w:rsidP="008743A5">
      <w:pPr>
        <w:pStyle w:val="a3"/>
        <w:widowControl/>
        <w:shd w:val="clear" w:color="auto" w:fill="FFFFFF"/>
        <w:spacing w:beforeAutospacing="0" w:afterAutospacing="0" w:line="360" w:lineRule="auto"/>
        <w:ind w:firstLine="480"/>
        <w:contextualSpacing/>
        <w:textAlignment w:val="baseline"/>
        <w:rPr>
          <w:rFonts w:ascii="宋体" w:hAnsi="宋体"/>
          <w:color w:val="000000"/>
          <w:kern w:val="2"/>
        </w:rPr>
      </w:pPr>
      <w:r w:rsidRPr="008743A5">
        <w:rPr>
          <w:rFonts w:ascii="宋体" w:hAnsi="宋体" w:hint="eastAsia"/>
          <w:color w:val="000000"/>
          <w:kern w:val="2"/>
        </w:rPr>
        <w:t>3.社区工作案例由背景介绍、分析预估、服务计划（包括服务目标、服务策略、服务程序等等）、服务计划实施过程（正文中应重点描述服务如何开展，详细的工作记录等文本可作为附件）、总结评估和专业反思六个部分构成。</w:t>
      </w:r>
    </w:p>
    <w:p w:rsidR="008743A5" w:rsidRDefault="008743A5" w:rsidP="008743A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contextualSpacing/>
        <w:textAlignment w:val="baseline"/>
        <w:rPr>
          <w:rFonts w:ascii="宋体" w:hAnsi="宋体"/>
          <w:color w:val="000000"/>
          <w:kern w:val="2"/>
        </w:rPr>
      </w:pPr>
      <w:r w:rsidRPr="008743A5">
        <w:rPr>
          <w:rFonts w:ascii="宋体" w:hAnsi="宋体" w:hint="eastAsia"/>
          <w:color w:val="000000"/>
          <w:kern w:val="2"/>
        </w:rPr>
        <w:t>4.社会工作行政案例。包括社会工作服务项目统筹实施和社会政策倡导等方面的内容，由背景介绍、服务计划（包括服务目标、服务策略、服务程序</w:t>
      </w:r>
      <w:r w:rsidRPr="008743A5">
        <w:rPr>
          <w:rFonts w:ascii="宋体" w:hAnsi="宋体" w:hint="eastAsia"/>
          <w:color w:val="000000"/>
          <w:kern w:val="2"/>
        </w:rPr>
        <w:lastRenderedPageBreak/>
        <w:t>等）、服务计划实施过程（正文中应重点描述服务如何开展，详细的工作记录等文本可作为附件）、总结评估和专业反思等部分构成。</w:t>
      </w:r>
    </w:p>
    <w:p w:rsidR="007471BE" w:rsidRPr="008743A5" w:rsidRDefault="007471BE" w:rsidP="008743A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contextualSpacing/>
        <w:textAlignment w:val="baseline"/>
        <w:rPr>
          <w:rFonts w:ascii="宋体" w:hAnsi="宋体"/>
        </w:rPr>
      </w:pPr>
    </w:p>
    <w:p w:rsidR="008743A5" w:rsidRPr="007471BE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 w:cs="宋体"/>
          <w:b/>
          <w:color w:val="000000"/>
        </w:rPr>
      </w:pPr>
      <w:r w:rsidRPr="007471BE">
        <w:rPr>
          <w:rFonts w:ascii="宋体" w:hAnsi="宋体" w:cs="宋体" w:hint="eastAsia"/>
          <w:b/>
          <w:color w:val="000000"/>
        </w:rPr>
        <w:t>三</w:t>
      </w:r>
      <w:r w:rsidR="007471BE" w:rsidRPr="007471BE">
        <w:rPr>
          <w:rFonts w:ascii="宋体" w:hAnsi="宋体" w:cs="宋体" w:hint="eastAsia"/>
          <w:b/>
          <w:color w:val="000000"/>
        </w:rPr>
        <w:t>、</w:t>
      </w:r>
      <w:r w:rsidRPr="007471BE">
        <w:rPr>
          <w:rFonts w:ascii="宋体" w:hAnsi="宋体" w:cs="宋体" w:hint="eastAsia"/>
          <w:b/>
          <w:color w:val="000000"/>
        </w:rPr>
        <w:t>文字要求</w:t>
      </w:r>
    </w:p>
    <w:p w:rsidR="008743A5" w:rsidRP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 w:cs="宋体"/>
          <w:color w:val="000000"/>
        </w:rPr>
      </w:pPr>
      <w:r w:rsidRPr="008743A5">
        <w:rPr>
          <w:rFonts w:ascii="宋体" w:hAnsi="宋体" w:hint="eastAsia"/>
          <w:color w:val="000000"/>
        </w:rPr>
        <w:t>1.</w:t>
      </w:r>
      <w:r w:rsidRPr="008743A5">
        <w:rPr>
          <w:rFonts w:ascii="宋体" w:hAnsi="宋体" w:cs="宋体" w:hint="eastAsia"/>
          <w:color w:val="000000"/>
        </w:rPr>
        <w:t>逻辑清晰、结构完整、文字简洁、分析到位。</w:t>
      </w:r>
    </w:p>
    <w:p w:rsidR="008743A5" w:rsidRP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 w:cs="宋体"/>
          <w:color w:val="000000"/>
        </w:rPr>
      </w:pPr>
      <w:r w:rsidRPr="008743A5">
        <w:rPr>
          <w:rFonts w:ascii="宋体" w:hAnsi="宋体" w:hint="eastAsia"/>
          <w:color w:val="000000"/>
        </w:rPr>
        <w:t>2.</w:t>
      </w:r>
      <w:r w:rsidRPr="008743A5">
        <w:rPr>
          <w:rFonts w:ascii="宋体" w:hAnsi="宋体" w:cs="宋体" w:hint="eastAsia"/>
          <w:color w:val="000000"/>
        </w:rPr>
        <w:t>涉及社会工作服务主体和客体的术语统一使用</w:t>
      </w:r>
      <w:r w:rsidRPr="008743A5">
        <w:rPr>
          <w:rFonts w:ascii="宋体" w:hAnsi="宋体"/>
          <w:color w:val="000000"/>
        </w:rPr>
        <w:t>“</w:t>
      </w:r>
      <w:r w:rsidRPr="008743A5">
        <w:rPr>
          <w:rFonts w:ascii="宋体" w:hAnsi="宋体" w:cs="宋体" w:hint="eastAsia"/>
          <w:color w:val="000000"/>
        </w:rPr>
        <w:t>社会工作者</w:t>
      </w:r>
      <w:r w:rsidRPr="008743A5">
        <w:rPr>
          <w:rFonts w:ascii="宋体" w:hAnsi="宋体"/>
          <w:color w:val="000000"/>
        </w:rPr>
        <w:t>”</w:t>
      </w:r>
      <w:r w:rsidRPr="008743A5">
        <w:rPr>
          <w:rFonts w:ascii="宋体" w:hAnsi="宋体" w:cs="宋体" w:hint="eastAsia"/>
          <w:color w:val="000000"/>
        </w:rPr>
        <w:t>和</w:t>
      </w:r>
      <w:r w:rsidRPr="008743A5">
        <w:rPr>
          <w:rFonts w:ascii="宋体" w:hAnsi="宋体"/>
          <w:color w:val="000000"/>
        </w:rPr>
        <w:t>“</w:t>
      </w:r>
      <w:r w:rsidRPr="008743A5">
        <w:rPr>
          <w:rFonts w:ascii="宋体" w:hAnsi="宋体" w:cs="宋体" w:hint="eastAsia"/>
          <w:color w:val="000000"/>
        </w:rPr>
        <w:t>服务对象</w:t>
      </w:r>
      <w:r w:rsidRPr="008743A5">
        <w:rPr>
          <w:rFonts w:ascii="宋体" w:hAnsi="宋体"/>
          <w:color w:val="000000"/>
        </w:rPr>
        <w:t>”</w:t>
      </w:r>
      <w:r w:rsidRPr="008743A5">
        <w:rPr>
          <w:rFonts w:ascii="宋体" w:hAnsi="宋体" w:cs="宋体" w:hint="eastAsia"/>
          <w:color w:val="000000"/>
        </w:rPr>
        <w:t>的表述，不使用</w:t>
      </w:r>
      <w:r w:rsidRPr="008743A5">
        <w:rPr>
          <w:rFonts w:ascii="宋体" w:hAnsi="宋体"/>
          <w:color w:val="000000"/>
        </w:rPr>
        <w:t>“</w:t>
      </w:r>
      <w:r w:rsidRPr="008743A5">
        <w:rPr>
          <w:rFonts w:ascii="宋体" w:hAnsi="宋体" w:cs="宋体" w:hint="eastAsia"/>
          <w:color w:val="000000"/>
        </w:rPr>
        <w:t>社工</w:t>
      </w:r>
      <w:r w:rsidRPr="008743A5">
        <w:rPr>
          <w:rFonts w:ascii="宋体" w:hAnsi="宋体"/>
          <w:color w:val="000000"/>
        </w:rPr>
        <w:t>”</w:t>
      </w:r>
      <w:r w:rsidRPr="008743A5">
        <w:rPr>
          <w:rFonts w:ascii="宋体" w:hAnsi="宋体" w:cs="宋体" w:hint="eastAsia"/>
          <w:color w:val="000000"/>
        </w:rPr>
        <w:t>、</w:t>
      </w:r>
      <w:r w:rsidRPr="008743A5">
        <w:rPr>
          <w:rFonts w:ascii="宋体" w:hAnsi="宋体"/>
          <w:color w:val="000000"/>
        </w:rPr>
        <w:t>“</w:t>
      </w:r>
      <w:r w:rsidRPr="008743A5">
        <w:rPr>
          <w:rFonts w:ascii="宋体" w:hAnsi="宋体" w:cs="宋体" w:hint="eastAsia"/>
          <w:color w:val="000000"/>
        </w:rPr>
        <w:t>工作者</w:t>
      </w:r>
      <w:r w:rsidRPr="008743A5">
        <w:rPr>
          <w:rFonts w:ascii="宋体" w:hAnsi="宋体"/>
          <w:color w:val="000000"/>
        </w:rPr>
        <w:t>”</w:t>
      </w:r>
      <w:r w:rsidRPr="008743A5">
        <w:rPr>
          <w:rFonts w:ascii="宋体" w:hAnsi="宋体" w:cs="宋体" w:hint="eastAsia"/>
          <w:color w:val="000000"/>
        </w:rPr>
        <w:t>、</w:t>
      </w:r>
      <w:r w:rsidRPr="008743A5">
        <w:rPr>
          <w:rFonts w:ascii="宋体" w:hAnsi="宋体"/>
          <w:color w:val="000000"/>
        </w:rPr>
        <w:t>“</w:t>
      </w:r>
      <w:r w:rsidRPr="008743A5">
        <w:rPr>
          <w:rFonts w:ascii="宋体" w:hAnsi="宋体" w:cs="宋体" w:hint="eastAsia"/>
          <w:color w:val="000000"/>
        </w:rPr>
        <w:t>工作员</w:t>
      </w:r>
      <w:r w:rsidRPr="008743A5">
        <w:rPr>
          <w:rFonts w:ascii="宋体" w:hAnsi="宋体"/>
          <w:color w:val="000000"/>
        </w:rPr>
        <w:t>”</w:t>
      </w:r>
      <w:r w:rsidRPr="008743A5">
        <w:rPr>
          <w:rFonts w:ascii="宋体" w:hAnsi="宋体" w:cs="宋体" w:hint="eastAsia"/>
          <w:color w:val="000000"/>
        </w:rPr>
        <w:t>、</w:t>
      </w:r>
      <w:r w:rsidRPr="008743A5">
        <w:rPr>
          <w:rFonts w:ascii="宋体" w:hAnsi="宋体"/>
          <w:color w:val="000000"/>
        </w:rPr>
        <w:t>“</w:t>
      </w:r>
      <w:r w:rsidRPr="008743A5">
        <w:rPr>
          <w:rFonts w:ascii="宋体" w:hAnsi="宋体" w:cs="宋体" w:hint="eastAsia"/>
          <w:color w:val="000000"/>
        </w:rPr>
        <w:t>辅导员</w:t>
      </w:r>
      <w:r w:rsidRPr="008743A5">
        <w:rPr>
          <w:rFonts w:ascii="宋体" w:hAnsi="宋体"/>
          <w:color w:val="000000"/>
        </w:rPr>
        <w:t>”</w:t>
      </w:r>
      <w:r w:rsidRPr="008743A5">
        <w:rPr>
          <w:rFonts w:ascii="宋体" w:hAnsi="宋体" w:cs="宋体" w:hint="eastAsia"/>
          <w:color w:val="000000"/>
        </w:rPr>
        <w:t>、</w:t>
      </w:r>
      <w:r w:rsidRPr="008743A5">
        <w:rPr>
          <w:rFonts w:ascii="宋体" w:hAnsi="宋体"/>
          <w:color w:val="000000"/>
        </w:rPr>
        <w:t>“</w:t>
      </w:r>
      <w:r w:rsidRPr="008743A5">
        <w:rPr>
          <w:rFonts w:ascii="宋体" w:hAnsi="宋体" w:cs="宋体" w:hint="eastAsia"/>
          <w:color w:val="000000"/>
        </w:rPr>
        <w:t>咨询者</w:t>
      </w:r>
      <w:r w:rsidRPr="008743A5">
        <w:rPr>
          <w:rFonts w:ascii="宋体" w:hAnsi="宋体"/>
          <w:color w:val="000000"/>
        </w:rPr>
        <w:t>”</w:t>
      </w:r>
      <w:r w:rsidRPr="008743A5">
        <w:rPr>
          <w:rFonts w:ascii="宋体" w:hAnsi="宋体" w:cs="宋体" w:hint="eastAsia"/>
          <w:color w:val="000000"/>
        </w:rPr>
        <w:t>、</w:t>
      </w:r>
      <w:r w:rsidRPr="008743A5">
        <w:rPr>
          <w:rFonts w:ascii="宋体" w:hAnsi="宋体"/>
          <w:color w:val="000000"/>
        </w:rPr>
        <w:t>“</w:t>
      </w:r>
      <w:r w:rsidRPr="008743A5">
        <w:rPr>
          <w:rFonts w:ascii="宋体" w:hAnsi="宋体" w:cs="宋体" w:hint="eastAsia"/>
          <w:color w:val="000000"/>
        </w:rPr>
        <w:t>案主</w:t>
      </w:r>
      <w:r w:rsidRPr="008743A5">
        <w:rPr>
          <w:rFonts w:ascii="宋体" w:hAnsi="宋体"/>
          <w:color w:val="000000"/>
        </w:rPr>
        <w:t>”</w:t>
      </w:r>
      <w:r w:rsidRPr="008743A5">
        <w:rPr>
          <w:rFonts w:ascii="宋体" w:hAnsi="宋体" w:cs="宋体" w:hint="eastAsia"/>
          <w:color w:val="000000"/>
        </w:rPr>
        <w:t>、</w:t>
      </w:r>
      <w:r w:rsidRPr="008743A5">
        <w:rPr>
          <w:rFonts w:ascii="宋体" w:hAnsi="宋体"/>
          <w:color w:val="000000"/>
        </w:rPr>
        <w:t>“</w:t>
      </w:r>
      <w:r w:rsidRPr="008743A5">
        <w:rPr>
          <w:rFonts w:ascii="宋体" w:hAnsi="宋体" w:cs="宋体" w:hint="eastAsia"/>
          <w:color w:val="000000"/>
        </w:rPr>
        <w:t>工作对象</w:t>
      </w:r>
      <w:r w:rsidRPr="008743A5">
        <w:rPr>
          <w:rFonts w:ascii="宋体" w:hAnsi="宋体"/>
          <w:color w:val="000000"/>
        </w:rPr>
        <w:t>”</w:t>
      </w:r>
      <w:r w:rsidRPr="008743A5">
        <w:rPr>
          <w:rFonts w:ascii="宋体" w:hAnsi="宋体" w:cs="宋体" w:hint="eastAsia"/>
          <w:color w:val="000000"/>
        </w:rPr>
        <w:t>、</w:t>
      </w:r>
      <w:r w:rsidRPr="008743A5">
        <w:rPr>
          <w:rFonts w:ascii="宋体" w:hAnsi="宋体"/>
          <w:color w:val="000000"/>
        </w:rPr>
        <w:t>“</w:t>
      </w:r>
      <w:r w:rsidRPr="008743A5">
        <w:rPr>
          <w:rFonts w:ascii="宋体" w:hAnsi="宋体" w:cs="宋体" w:hint="eastAsia"/>
          <w:color w:val="000000"/>
        </w:rPr>
        <w:t>当事人</w:t>
      </w:r>
      <w:r w:rsidRPr="008743A5">
        <w:rPr>
          <w:rFonts w:ascii="宋体" w:hAnsi="宋体"/>
          <w:color w:val="000000"/>
        </w:rPr>
        <w:t>”</w:t>
      </w:r>
      <w:r w:rsidRPr="008743A5">
        <w:rPr>
          <w:rFonts w:ascii="宋体" w:hAnsi="宋体" w:cs="宋体" w:hint="eastAsia"/>
          <w:color w:val="000000"/>
        </w:rPr>
        <w:t>等表述。</w:t>
      </w:r>
    </w:p>
    <w:p w:rsidR="008743A5" w:rsidRP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 w:cs="宋体"/>
          <w:color w:val="000000"/>
        </w:rPr>
      </w:pPr>
      <w:r w:rsidRPr="008743A5">
        <w:rPr>
          <w:rFonts w:ascii="宋体" w:hAnsi="宋体" w:hint="eastAsia"/>
          <w:color w:val="000000"/>
        </w:rPr>
        <w:t>3.</w:t>
      </w:r>
      <w:r w:rsidRPr="008743A5">
        <w:rPr>
          <w:rFonts w:ascii="宋体" w:hAnsi="宋体" w:cs="宋体" w:hint="eastAsia"/>
          <w:color w:val="000000"/>
        </w:rPr>
        <w:t>对于服务对象的姓名、住址、单位等涉及隐私的内容，应注意保密并作技术性处理。</w:t>
      </w:r>
    </w:p>
    <w:p w:rsidR="008743A5" w:rsidRDefault="008743A5" w:rsidP="008743A5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 w:cs="宋体"/>
          <w:color w:val="000000"/>
        </w:rPr>
      </w:pPr>
      <w:r w:rsidRPr="008743A5">
        <w:rPr>
          <w:rFonts w:ascii="宋体" w:hAnsi="宋体" w:hint="eastAsia"/>
          <w:color w:val="000000"/>
        </w:rPr>
        <w:t>4.</w:t>
      </w:r>
      <w:r w:rsidRPr="008743A5">
        <w:rPr>
          <w:rFonts w:ascii="宋体" w:hAnsi="宋体" w:cs="宋体" w:hint="eastAsia"/>
          <w:color w:val="000000"/>
        </w:rPr>
        <w:t>申请资料正文不超过</w:t>
      </w:r>
      <w:r w:rsidRPr="008743A5">
        <w:rPr>
          <w:rFonts w:ascii="宋体" w:hAnsi="宋体" w:hint="eastAsia"/>
          <w:color w:val="000000"/>
        </w:rPr>
        <w:t xml:space="preserve"> 1 </w:t>
      </w:r>
      <w:r w:rsidRPr="008743A5">
        <w:rPr>
          <w:rFonts w:ascii="宋体" w:hAnsi="宋体" w:cs="宋体" w:hint="eastAsia"/>
          <w:color w:val="000000"/>
        </w:rPr>
        <w:t>万字。</w:t>
      </w:r>
    </w:p>
    <w:p w:rsidR="008743A5" w:rsidRDefault="008743A5" w:rsidP="008743A5">
      <w:pPr>
        <w:jc w:val="right"/>
      </w:pPr>
    </w:p>
    <w:p w:rsidR="00A55C87" w:rsidRPr="00A55C87" w:rsidRDefault="00461B85" w:rsidP="00A55C87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 w:cs="宋体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四、</w:t>
      </w:r>
      <w:r w:rsidR="00A55C87" w:rsidRPr="00A55C87">
        <w:rPr>
          <w:rFonts w:ascii="宋体" w:hAnsi="宋体" w:cs="宋体" w:hint="eastAsia"/>
          <w:b/>
          <w:color w:val="000000"/>
        </w:rPr>
        <w:t xml:space="preserve">案例重复率要求 </w:t>
      </w:r>
    </w:p>
    <w:p w:rsidR="008743A5" w:rsidRPr="00A55C87" w:rsidRDefault="00A55C87" w:rsidP="00A55C87">
      <w:pPr>
        <w:pStyle w:val="a3"/>
        <w:widowControl/>
        <w:spacing w:beforeAutospacing="0" w:afterAutospacing="0" w:line="360" w:lineRule="auto"/>
        <w:ind w:firstLine="420"/>
        <w:contextualSpacing/>
        <w:rPr>
          <w:rFonts w:ascii="宋体" w:hAnsi="宋体"/>
          <w:color w:val="000000"/>
        </w:rPr>
      </w:pPr>
      <w:r w:rsidRPr="00A55C87">
        <w:rPr>
          <w:rFonts w:ascii="宋体" w:hAnsi="宋体" w:hint="eastAsia"/>
          <w:color w:val="000000"/>
        </w:rPr>
        <w:t>参赛案例正文的文本重复率不得超过30%（以CNKI学术不端文献检测系统检测结果为准）。</w:t>
      </w:r>
    </w:p>
    <w:p w:rsidR="008743A5" w:rsidRDefault="008743A5" w:rsidP="008743A5">
      <w:pPr>
        <w:ind w:firstLineChars="200" w:firstLine="420"/>
        <w:jc w:val="left"/>
      </w:pPr>
    </w:p>
    <w:p w:rsidR="008743A5" w:rsidRDefault="008743A5" w:rsidP="008743A5">
      <w:pPr>
        <w:ind w:firstLineChars="200" w:firstLine="420"/>
        <w:jc w:val="left"/>
      </w:pPr>
      <w:bookmarkStart w:id="0" w:name="_GoBack"/>
      <w:bookmarkEnd w:id="0"/>
    </w:p>
    <w:p w:rsidR="008743A5" w:rsidRDefault="008743A5" w:rsidP="008743A5">
      <w:pPr>
        <w:ind w:firstLineChars="200" w:firstLine="420"/>
        <w:jc w:val="left"/>
      </w:pPr>
    </w:p>
    <w:p w:rsidR="008743A5" w:rsidRDefault="008743A5" w:rsidP="008743A5"/>
    <w:p w:rsidR="00BA3F0E" w:rsidRPr="008743A5" w:rsidRDefault="00BA3F0E"/>
    <w:sectPr w:rsidR="00BA3F0E" w:rsidRPr="008743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3B" w:rsidRDefault="00C34E3B" w:rsidP="00A55C87">
      <w:r>
        <w:separator/>
      </w:r>
    </w:p>
  </w:endnote>
  <w:endnote w:type="continuationSeparator" w:id="0">
    <w:p w:rsidR="00C34E3B" w:rsidRDefault="00C34E3B" w:rsidP="00A5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3B" w:rsidRDefault="00C34E3B" w:rsidP="00A55C87">
      <w:r>
        <w:separator/>
      </w:r>
    </w:p>
  </w:footnote>
  <w:footnote w:type="continuationSeparator" w:id="0">
    <w:p w:rsidR="00C34E3B" w:rsidRDefault="00C34E3B" w:rsidP="00A5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A5"/>
    <w:rsid w:val="00007499"/>
    <w:rsid w:val="00461B85"/>
    <w:rsid w:val="007471BE"/>
    <w:rsid w:val="008743A5"/>
    <w:rsid w:val="00A55C87"/>
    <w:rsid w:val="00BA3F0E"/>
    <w:rsid w:val="00C3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E60CD"/>
  <w15:chartTrackingRefBased/>
  <w15:docId w15:val="{A2B36D28-4783-477E-AC28-7F005346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743A5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5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5C8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5C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Shuyuan</dc:creator>
  <cp:keywords/>
  <dc:description/>
  <cp:lastModifiedBy>Wei Shuyuan</cp:lastModifiedBy>
  <cp:revision>2</cp:revision>
  <dcterms:created xsi:type="dcterms:W3CDTF">2022-09-22T03:41:00Z</dcterms:created>
  <dcterms:modified xsi:type="dcterms:W3CDTF">2022-09-22T03:41:00Z</dcterms:modified>
</cp:coreProperties>
</file>