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rPr>
          <w:rFonts w:ascii="宋体" w:hAnsi="宋体" w:eastAsia="宋体" w:cs="宋体"/>
          <w:b/>
          <w:bCs/>
          <w:color w:val="333333"/>
          <w:kern w:val="0"/>
          <w:sz w:val="32"/>
          <w:szCs w:val="32"/>
        </w:rPr>
      </w:pPr>
      <w:r>
        <w:rPr>
          <w:rFonts w:hint="eastAsia" w:ascii="黑体" w:hAnsi="黑体" w:eastAsia="黑体" w:cs="黑体"/>
          <w:color w:val="333333"/>
          <w:kern w:val="0"/>
          <w:sz w:val="32"/>
          <w:szCs w:val="32"/>
        </w:rPr>
        <w:t>附件2</w:t>
      </w:r>
    </w:p>
    <w:p>
      <w:pPr>
        <w:widowControl/>
        <w:shd w:val="clear" w:color="auto" w:fill="FFFFFF"/>
        <w:spacing w:line="540" w:lineRule="atLeast"/>
        <w:jc w:val="center"/>
        <w:rPr>
          <w:rFonts w:ascii="方正小标宋简体" w:hAnsi="方正小标宋简体" w:eastAsia="方正小标宋简体" w:cs="方正小标宋简体"/>
          <w:color w:val="333333"/>
          <w:kern w:val="0"/>
          <w:sz w:val="36"/>
          <w:szCs w:val="36"/>
        </w:rPr>
      </w:pPr>
      <w:r>
        <w:rPr>
          <w:rFonts w:hint="eastAsia" w:ascii="方正小标宋简体" w:hAnsi="方正小标宋简体" w:eastAsia="方正小标宋简体" w:cs="方正小标宋简体"/>
          <w:color w:val="333333"/>
          <w:kern w:val="0"/>
          <w:sz w:val="36"/>
          <w:szCs w:val="36"/>
        </w:rPr>
        <w:t>兰州大学哲学社会学院</w:t>
      </w:r>
      <w:r>
        <w:rPr>
          <w:rFonts w:hint="eastAsia" w:ascii="方正小标宋简体" w:hAnsi="方正小标宋简体" w:eastAsia="方正小标宋简体" w:cs="方正小标宋简体"/>
          <w:color w:val="000000"/>
          <w:kern w:val="0"/>
          <w:sz w:val="36"/>
          <w:szCs w:val="36"/>
        </w:rPr>
        <w:t>哲学</w:t>
      </w:r>
      <w:r>
        <w:rPr>
          <w:rFonts w:hint="eastAsia" w:ascii="方正小标宋简体" w:hAnsi="方正小标宋简体" w:eastAsia="方正小标宋简体" w:cs="方正小标宋简体"/>
          <w:color w:val="333333"/>
          <w:kern w:val="0"/>
          <w:sz w:val="36"/>
          <w:szCs w:val="36"/>
        </w:rPr>
        <w:t>辅修专业、</w:t>
      </w:r>
      <w:r>
        <w:rPr>
          <w:rFonts w:ascii="方正小标宋简体" w:hAnsi="方正小标宋简体" w:eastAsia="方正小标宋简体" w:cs="方正小标宋简体"/>
          <w:color w:val="333333"/>
          <w:kern w:val="0"/>
          <w:sz w:val="36"/>
          <w:szCs w:val="36"/>
        </w:rPr>
        <w:t>辅修</w:t>
      </w:r>
      <w:r>
        <w:rPr>
          <w:rFonts w:hint="eastAsia" w:ascii="方正小标宋简体" w:hAnsi="方正小标宋简体" w:eastAsia="方正小标宋简体" w:cs="方正小标宋简体"/>
          <w:color w:val="333333"/>
          <w:kern w:val="0"/>
          <w:sz w:val="36"/>
          <w:szCs w:val="36"/>
        </w:rPr>
        <w:t>学士学位</w:t>
      </w:r>
    </w:p>
    <w:p>
      <w:pPr>
        <w:widowControl/>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一、哲学辅修专业、辅修学士学位简介</w:t>
      </w:r>
    </w:p>
    <w:p>
      <w:pPr>
        <w:spacing w:line="54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sz w:val="32"/>
          <w:szCs w:val="32"/>
          <w:highlight w:val="none"/>
          <w:lang w:val="en-US" w:eastAsia="zh-CN"/>
        </w:rPr>
        <w:t>兰州大学哲学</w:t>
      </w:r>
      <w:r>
        <w:rPr>
          <w:rFonts w:hint="eastAsia" w:ascii="仿宋_GB2312" w:hAnsi="仿宋_GB2312" w:eastAsia="仿宋_GB2312" w:cs="仿宋_GB2312"/>
          <w:color w:val="000000"/>
          <w:sz w:val="32"/>
          <w:szCs w:val="32"/>
          <w:highlight w:val="none"/>
        </w:rPr>
        <w:t>专业筹建于1975年，1978年正式招收第一届哲学专业本科生。1986年起先后建成中国哲学、科技哲学、外国哲学、马克思主义哲学硕士点，现为哲学硕士一级学科，甘肃省哲学重点学科，国家</w:t>
      </w:r>
      <w:r>
        <w:rPr>
          <w:rFonts w:hint="eastAsia" w:ascii="仿宋_GB2312" w:hAnsi="仿宋_GB2312" w:eastAsia="仿宋_GB2312" w:cs="仿宋_GB2312"/>
          <w:color w:val="000000"/>
          <w:sz w:val="32"/>
          <w:szCs w:val="32"/>
          <w:highlight w:val="none"/>
          <w:lang w:val="en-US" w:eastAsia="zh-CN"/>
        </w:rPr>
        <w:t>级</w:t>
      </w:r>
      <w:r>
        <w:rPr>
          <w:rFonts w:hint="eastAsia" w:ascii="仿宋_GB2312" w:hAnsi="仿宋_GB2312" w:eastAsia="仿宋_GB2312" w:cs="仿宋_GB2312"/>
          <w:color w:val="000000"/>
          <w:sz w:val="32"/>
          <w:szCs w:val="32"/>
          <w:highlight w:val="none"/>
        </w:rPr>
        <w:t>一流本科专业建设点。本</w:t>
      </w:r>
      <w:r>
        <w:rPr>
          <w:rFonts w:hint="eastAsia" w:ascii="仿宋_GB2312" w:hAnsi="仿宋_GB2312" w:eastAsia="仿宋_GB2312" w:cs="仿宋_GB2312"/>
          <w:color w:val="000000"/>
          <w:sz w:val="32"/>
          <w:szCs w:val="32"/>
          <w:highlight w:val="none"/>
          <w:lang w:val="en-US" w:eastAsia="zh-CN"/>
        </w:rPr>
        <w:t>专业</w:t>
      </w:r>
      <w:r>
        <w:rPr>
          <w:rFonts w:hint="eastAsia" w:ascii="仿宋_GB2312" w:hAnsi="仿宋_GB2312" w:eastAsia="仿宋_GB2312" w:cs="仿宋_GB2312"/>
          <w:color w:val="000000"/>
          <w:sz w:val="32"/>
          <w:szCs w:val="32"/>
          <w:highlight w:val="none"/>
        </w:rPr>
        <w:t>已形成马克思主义哲学、中国哲学、外国哲学、科技哲学四个主干方向，其中西方马克思主义、先秦哲学、宋明儒学、认知科学等领域的研究，在西部地区具有显著的特色和优势。</w:t>
      </w:r>
      <w:r>
        <w:rPr>
          <w:rFonts w:hint="eastAsia" w:ascii="仿宋_GB2312" w:hAnsi="仿宋_GB2312" w:eastAsia="仿宋_GB2312" w:cs="仿宋_GB2312"/>
          <w:color w:val="000000"/>
          <w:kern w:val="0"/>
          <w:sz w:val="32"/>
          <w:szCs w:val="32"/>
        </w:rPr>
        <w:t>在今后的学科建设规划中，哲学学科将重点发展科学技术哲学、伦理学、马克思主义哲学等方向</w:t>
      </w:r>
      <w:r>
        <w:rPr>
          <w:rFonts w:hint="eastAsia" w:ascii="仿宋_GB2312" w:hAnsi="仿宋_GB2312" w:eastAsia="仿宋_GB2312" w:cs="仿宋_GB2312"/>
          <w:color w:val="000000"/>
          <w:kern w:val="0"/>
          <w:sz w:val="32"/>
          <w:szCs w:val="32"/>
          <w:lang w:eastAsia="zh-CN"/>
        </w:rPr>
        <w:t>。</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val="en-US" w:eastAsia="zh-CN"/>
        </w:rPr>
        <w:t>近年，兰州大学哲学专业深入推进学科交叉和文理融合，广泛开展研讨班教学，注重原典阅读，突出对学生探究能力、批判思维及对话意识的培养。</w:t>
      </w:r>
      <w:r>
        <w:rPr>
          <w:rFonts w:hint="eastAsia" w:ascii="仿宋_GB2312" w:hAnsi="仿宋_GB2312" w:eastAsia="仿宋_GB2312" w:cs="仿宋_GB2312"/>
          <w:color w:val="000000"/>
          <w:sz w:val="32"/>
          <w:szCs w:val="32"/>
          <w:highlight w:val="none"/>
        </w:rPr>
        <w:t>成立四十多年来，</w:t>
      </w:r>
      <w:r>
        <w:rPr>
          <w:rFonts w:hint="eastAsia" w:ascii="仿宋_GB2312" w:hAnsi="仿宋_GB2312" w:eastAsia="仿宋_GB2312" w:cs="仿宋_GB2312"/>
          <w:color w:val="000000"/>
          <w:sz w:val="32"/>
          <w:szCs w:val="32"/>
          <w:highlight w:val="none"/>
          <w:lang w:val="en-US" w:eastAsia="zh-CN"/>
        </w:rPr>
        <w:t>专业</w:t>
      </w:r>
      <w:r>
        <w:rPr>
          <w:rFonts w:hint="eastAsia" w:ascii="仿宋_GB2312" w:hAnsi="仿宋_GB2312" w:eastAsia="仿宋_GB2312" w:cs="仿宋_GB2312"/>
          <w:color w:val="000000"/>
          <w:sz w:val="32"/>
          <w:szCs w:val="32"/>
          <w:highlight w:val="none"/>
        </w:rPr>
        <w:t>汇聚了韩学本、刘文英、袁义江、林立等一批杰出学者，为党和国家培养了大批德才兼备的社会栋梁。</w:t>
      </w:r>
    </w:p>
    <w:p>
      <w:pPr>
        <w:spacing w:line="54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本</w:t>
      </w:r>
      <w:r>
        <w:rPr>
          <w:rFonts w:hint="eastAsia" w:ascii="仿宋_GB2312" w:hAnsi="仿宋_GB2312" w:eastAsia="仿宋_GB2312" w:cs="仿宋_GB2312"/>
          <w:color w:val="000000"/>
          <w:sz w:val="32"/>
          <w:szCs w:val="32"/>
        </w:rPr>
        <w:t>专业现拥有一批专业基础扎实、学缘背景优良、爱岗、敬业、乐教的师资队伍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国际化水平较高，近50%的教师有国外留学经历。</w:t>
      </w:r>
      <w:r>
        <w:rPr>
          <w:rFonts w:hint="eastAsia" w:ascii="仿宋_GB2312" w:hAnsi="仿宋_GB2312" w:eastAsia="仿宋_GB2312" w:cs="仿宋_GB2312"/>
          <w:color w:val="000000"/>
          <w:sz w:val="32"/>
          <w:szCs w:val="32"/>
        </w:rPr>
        <w:t>现有专任教师3</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人：正高级职称1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人（青年研究员3人）、副高级职称15人，中级职称6人。</w:t>
      </w:r>
      <w:r>
        <w:rPr>
          <w:rFonts w:hint="eastAsia" w:ascii="仿宋_GB2312" w:hAnsi="仿宋_GB2312" w:eastAsia="仿宋_GB2312" w:cs="仿宋_GB2312"/>
          <w:color w:val="000000"/>
          <w:sz w:val="32"/>
          <w:szCs w:val="32"/>
          <w:lang w:val="en-US" w:eastAsia="zh-CN"/>
        </w:rPr>
        <w:t>以“知行并重，实践创新”为育人理念，教师积极进行教学改革与创新，为</w:t>
      </w:r>
      <w:r>
        <w:rPr>
          <w:rFonts w:hint="eastAsia" w:ascii="仿宋_GB2312" w:hAnsi="仿宋_GB2312" w:eastAsia="仿宋_GB2312" w:cs="仿宋_GB2312"/>
          <w:color w:val="000000"/>
          <w:sz w:val="32"/>
          <w:szCs w:val="32"/>
        </w:rPr>
        <w:t>教育教学</w:t>
      </w:r>
      <w:r>
        <w:rPr>
          <w:rFonts w:hint="eastAsia" w:ascii="仿宋_GB2312" w:hAnsi="仿宋_GB2312" w:eastAsia="仿宋_GB2312" w:cs="仿宋_GB2312"/>
          <w:color w:val="000000"/>
          <w:sz w:val="32"/>
          <w:szCs w:val="32"/>
          <w:lang w:val="en-US" w:eastAsia="zh-CN"/>
        </w:rPr>
        <w:t>和人才培养</w:t>
      </w:r>
      <w:r>
        <w:rPr>
          <w:rFonts w:hint="eastAsia" w:ascii="仿宋_GB2312" w:hAnsi="仿宋_GB2312" w:eastAsia="仿宋_GB2312" w:cs="仿宋_GB2312"/>
          <w:color w:val="000000"/>
          <w:sz w:val="32"/>
          <w:szCs w:val="32"/>
        </w:rPr>
        <w:t>提供了坚实的基础和保障</w:t>
      </w:r>
      <w:r>
        <w:rPr>
          <w:rFonts w:hint="eastAsia" w:ascii="仿宋_GB2312" w:hAnsi="仿宋_GB2312" w:eastAsia="仿宋_GB2312" w:cs="仿宋_GB2312"/>
          <w:color w:val="000000"/>
          <w:sz w:val="32"/>
          <w:szCs w:val="32"/>
          <w:lang w:eastAsia="zh-CN"/>
        </w:rPr>
        <w:t>。</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除依托学校图书馆丰富的藏书和电子资源外，学院现图书数量为32000余册，国内外杂志报刊140余种9000余册，在城关校区设有资料室，可供学生使用。学院在2020年度购买了“诸子集成”检索系统，现已安装并投入使用。该系统收录了《新编诸子集成》64种，主要对是儒、墨、道、法等诸子百家经典著作的整理与权威注释，为学生学习、研究中国哲学乃至中国传统思想文化提供了参考。主办学术期刊《科学</w:t>
      </w:r>
      <w:r>
        <w:rPr>
          <w:rFonts w:hint="eastAsia" w:ascii="宋体" w:hAnsi="宋体" w:eastAsia="宋体" w:cs="宋体"/>
          <w:color w:val="000000"/>
          <w:kern w:val="0"/>
          <w:sz w:val="32"/>
          <w:szCs w:val="32"/>
        </w:rPr>
        <w:t>•</w:t>
      </w:r>
      <w:r>
        <w:rPr>
          <w:rFonts w:hint="eastAsia" w:ascii="仿宋_GB2312" w:hAnsi="仿宋_GB2312" w:eastAsia="仿宋_GB2312" w:cs="仿宋_GB2312"/>
          <w:color w:val="000000"/>
          <w:kern w:val="0"/>
          <w:sz w:val="32"/>
          <w:szCs w:val="32"/>
        </w:rPr>
        <w:t>经济</w:t>
      </w:r>
      <w:r>
        <w:rPr>
          <w:rFonts w:hint="eastAsia" w:ascii="宋体" w:hAnsi="宋体" w:eastAsia="宋体" w:cs="宋体"/>
          <w:color w:val="000000"/>
          <w:kern w:val="0"/>
          <w:sz w:val="32"/>
          <w:szCs w:val="32"/>
        </w:rPr>
        <w:t>•</w:t>
      </w:r>
      <w:r>
        <w:rPr>
          <w:rFonts w:hint="eastAsia" w:ascii="仿宋_GB2312" w:hAnsi="仿宋_GB2312" w:eastAsia="仿宋_GB2312" w:cs="仿宋_GB2312"/>
          <w:color w:val="000000"/>
          <w:kern w:val="0"/>
          <w:sz w:val="32"/>
          <w:szCs w:val="32"/>
        </w:rPr>
        <w:t>社会》。</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余年的发展历史，凝聚了数代学人的奋斗和心血。学院师生坚守“知行合一、宁静致远”的价值诉求，发扬“自强不息、独树一帜”的校训精神，形成了学院求真务实、淡泊名利、敢为人先、勇于担当的优良学风和精神传统，为国家和社会培养和输送了大批各个领域的中坚人才，深受学界的普遍尊重和社会的广泛赞誉。</w:t>
      </w:r>
    </w:p>
    <w:p>
      <w:pPr>
        <w:widowControl/>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二、培养目标</w:t>
      </w:r>
    </w:p>
    <w:p>
      <w:pPr>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兰州大学哲学专业以习近平新时代中国特色社会主义思想为指导，</w:t>
      </w:r>
      <w:r>
        <w:rPr>
          <w:rFonts w:hint="eastAsia" w:ascii="仿宋_GB2312" w:hAnsi="仿宋_GB2312" w:eastAsia="仿宋_GB2312" w:cs="仿宋_GB2312"/>
          <w:color w:val="000000"/>
          <w:sz w:val="32"/>
          <w:szCs w:val="32"/>
          <w:lang w:val="en-US" w:eastAsia="zh-CN"/>
        </w:rPr>
        <w:t>适应全球化与当今社会发展的深层需求，以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通专融合、多元发展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为目标，</w:t>
      </w:r>
      <w:r>
        <w:rPr>
          <w:rFonts w:hint="eastAsia" w:ascii="仿宋_GB2312" w:hAnsi="仿宋_GB2312" w:eastAsia="仿宋_GB2312" w:cs="仿宋_GB2312"/>
          <w:color w:val="000000"/>
          <w:sz w:val="32"/>
          <w:szCs w:val="32"/>
        </w:rPr>
        <w:t>致力于培养</w:t>
      </w:r>
      <w:r>
        <w:rPr>
          <w:rFonts w:hint="eastAsia" w:ascii="仿宋_GB2312" w:hAnsi="仿宋_GB2312" w:eastAsia="仿宋_GB2312" w:cs="仿宋_GB2312"/>
          <w:color w:val="000000"/>
          <w:sz w:val="32"/>
          <w:szCs w:val="32"/>
          <w:lang w:val="en-US" w:eastAsia="zh-CN"/>
        </w:rPr>
        <w:t>具有扎实的哲学知识，掌握哲学学科的经典与前沿，兼具人文科学、社会科学、自然科学、思维科学的知识，通过哲学知识的探索和创新，具有应对个人及社会面临的时代问题的能力，</w:t>
      </w:r>
      <w:r>
        <w:rPr>
          <w:rFonts w:hint="eastAsia" w:ascii="仿宋_GB2312" w:hAnsi="仿宋_GB2312" w:eastAsia="仿宋_GB2312" w:cs="仿宋_GB2312"/>
          <w:color w:val="000000"/>
          <w:sz w:val="32"/>
          <w:szCs w:val="32"/>
        </w:rPr>
        <w:t>能够在国家机关、文教事业、新闻出版、企业等部门从事有关实际工作的应用型、复合型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引领性</w:t>
      </w:r>
      <w:r>
        <w:rPr>
          <w:rFonts w:hint="eastAsia" w:ascii="仿宋_GB2312" w:hAnsi="仿宋_GB2312" w:eastAsia="仿宋_GB2312" w:cs="仿宋_GB2312"/>
          <w:color w:val="000000"/>
          <w:sz w:val="32"/>
          <w:szCs w:val="32"/>
        </w:rPr>
        <w:t>人才。</w:t>
      </w:r>
    </w:p>
    <w:p>
      <w:pPr>
        <w:widowControl/>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三、培养要求</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lang w:eastAsia="zh-CN"/>
        </w:rPr>
        <w:t>在培养全过程中，</w:t>
      </w:r>
      <w:r>
        <w:rPr>
          <w:rFonts w:hint="eastAsia" w:ascii="仿宋_GB2312" w:hAnsi="仿宋_GB2312" w:eastAsia="仿宋_GB2312" w:cs="仿宋_GB2312"/>
          <w:sz w:val="32"/>
          <w:szCs w:val="32"/>
          <w:lang w:eastAsia="zh-Hans"/>
        </w:rPr>
        <w:t>本专业将</w:t>
      </w:r>
      <w:r>
        <w:rPr>
          <w:rFonts w:hint="eastAsia" w:ascii="仿宋_GB2312" w:hAnsi="仿宋_GB2312" w:eastAsia="仿宋_GB2312" w:cs="仿宋_GB2312"/>
          <w:sz w:val="32"/>
          <w:szCs w:val="32"/>
          <w:lang w:val="en-US" w:eastAsia="zh-CN"/>
        </w:rPr>
        <w:t>积极坚持</w:t>
      </w:r>
      <w:r>
        <w:rPr>
          <w:rFonts w:hint="eastAsia" w:ascii="仿宋_GB2312" w:hAnsi="仿宋_GB2312" w:eastAsia="仿宋_GB2312" w:cs="仿宋_GB2312"/>
          <w:sz w:val="32"/>
          <w:szCs w:val="32"/>
        </w:rPr>
        <w:t>知识、能力和素质三者有机结合的原则进行创新</w:t>
      </w:r>
      <w:r>
        <w:rPr>
          <w:rFonts w:hint="eastAsia" w:ascii="仿宋_GB2312" w:hAnsi="仿宋_GB2312" w:eastAsia="仿宋_GB2312" w:cs="仿宋_GB2312"/>
          <w:sz w:val="32"/>
          <w:szCs w:val="32"/>
          <w:lang w:val="en-US" w:eastAsia="zh-CN"/>
        </w:rPr>
        <w:t>应用</w:t>
      </w:r>
      <w:r>
        <w:rPr>
          <w:rFonts w:hint="eastAsia" w:ascii="仿宋_GB2312" w:hAnsi="仿宋_GB2312" w:eastAsia="仿宋_GB2312" w:cs="仿宋_GB2312"/>
          <w:sz w:val="32"/>
          <w:szCs w:val="32"/>
        </w:rPr>
        <w:t>型人才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培养，</w:t>
      </w:r>
      <w:r>
        <w:rPr>
          <w:rFonts w:hint="eastAsia" w:ascii="仿宋_GB2312" w:hAnsi="仿宋_GB2312" w:eastAsia="仿宋_GB2312" w:cs="仿宋_GB2312"/>
          <w:sz w:val="32"/>
          <w:szCs w:val="32"/>
          <w:lang w:eastAsia="zh-Hans"/>
        </w:rPr>
        <w:t>以使学生</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下</w:t>
      </w:r>
      <w:r>
        <w:rPr>
          <w:rFonts w:hint="eastAsia" w:ascii="仿宋_GB2312" w:hAnsi="仿宋_GB2312" w:eastAsia="仿宋_GB2312" w:cs="仿宋_GB2312"/>
          <w:sz w:val="32"/>
          <w:szCs w:val="32"/>
          <w:lang w:val="en-US" w:eastAsia="zh-CN"/>
        </w:rPr>
        <w:t>五个</w:t>
      </w:r>
      <w:r>
        <w:rPr>
          <w:rFonts w:hint="eastAsia" w:ascii="仿宋_GB2312" w:hAnsi="仿宋_GB2312" w:eastAsia="仿宋_GB2312" w:cs="仿宋_GB2312"/>
          <w:sz w:val="32"/>
          <w:szCs w:val="32"/>
          <w:lang w:val="en-US" w:eastAsia="zh-Hans"/>
        </w:rPr>
        <w:t>培养目标</w:t>
      </w:r>
      <w:r>
        <w:rPr>
          <w:rFonts w:hint="eastAsia" w:ascii="仿宋_GB2312" w:hAnsi="仿宋_GB2312" w:eastAsia="仿宋_GB2312" w:cs="仿宋_GB2312"/>
          <w:sz w:val="32"/>
          <w:szCs w:val="32"/>
          <w:lang w:val="en-US" w:eastAsia="zh-CN"/>
        </w:rPr>
        <w:t>向度上</w:t>
      </w:r>
      <w:r>
        <w:rPr>
          <w:rFonts w:hint="eastAsia" w:ascii="仿宋_GB2312" w:hAnsi="仿宋_GB2312" w:eastAsia="仿宋_GB2312" w:cs="仿宋_GB2312"/>
          <w:sz w:val="32"/>
          <w:szCs w:val="32"/>
          <w:lang w:val="en-US" w:eastAsia="zh-Hans"/>
        </w:rPr>
        <w:t>获得综合和专业两种类型素养与能力的</w:t>
      </w:r>
      <w:r>
        <w:rPr>
          <w:rFonts w:hint="eastAsia" w:ascii="仿宋_GB2312" w:hAnsi="仿宋_GB2312" w:eastAsia="仿宋_GB2312" w:cs="仿宋_GB2312"/>
          <w:sz w:val="32"/>
          <w:szCs w:val="32"/>
          <w:lang w:val="en-US" w:eastAsia="zh-CN"/>
        </w:rPr>
        <w:t>全面成长</w:t>
      </w:r>
      <w:r>
        <w:rPr>
          <w:rFonts w:hint="eastAsia" w:ascii="仿宋_GB2312" w:hAnsi="仿宋_GB2312" w:eastAsia="仿宋_GB2312" w:cs="仿宋_GB2312"/>
          <w:sz w:val="32"/>
          <w:szCs w:val="32"/>
        </w:rPr>
        <w:t>：</w:t>
      </w:r>
    </w:p>
    <w:p>
      <w:pPr>
        <w:tabs>
          <w:tab w:val="left" w:pos="588"/>
          <w:tab w:val="left" w:pos="1282"/>
        </w:tabs>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目标1：</w:t>
      </w:r>
      <w:r>
        <w:rPr>
          <w:rFonts w:hint="eastAsia" w:ascii="仿宋_GB2312" w:hAnsi="楷体" w:eastAsia="仿宋_GB2312" w:cs="楷体"/>
          <w:color w:val="000000"/>
          <w:sz w:val="32"/>
          <w:szCs w:val="32"/>
          <w:lang w:eastAsia="zh-Hans"/>
        </w:rPr>
        <w:t>积极</w:t>
      </w:r>
      <w:r>
        <w:rPr>
          <w:rFonts w:hint="eastAsia" w:ascii="仿宋_GB2312" w:hAnsi="楷体" w:eastAsia="仿宋_GB2312" w:cs="楷体"/>
          <w:color w:val="000000"/>
          <w:sz w:val="32"/>
          <w:szCs w:val="32"/>
        </w:rPr>
        <w:t>践行社会主义核心价值观，</w:t>
      </w:r>
      <w:r>
        <w:rPr>
          <w:rFonts w:hint="eastAsia" w:ascii="仿宋_GB2312" w:hAnsi="楷体" w:eastAsia="仿宋_GB2312" w:cs="楷体"/>
          <w:color w:val="000000"/>
          <w:sz w:val="32"/>
          <w:szCs w:val="32"/>
          <w:lang w:eastAsia="zh-Hans"/>
        </w:rPr>
        <w:t>富有家国情怀</w:t>
      </w:r>
      <w:r>
        <w:rPr>
          <w:rFonts w:hint="eastAsia" w:ascii="仿宋_GB2312" w:hAnsi="楷体" w:eastAsia="仿宋_GB2312" w:cs="楷体"/>
          <w:color w:val="000000"/>
          <w:sz w:val="32"/>
          <w:szCs w:val="32"/>
          <w:lang w:val="en-US" w:eastAsia="zh-CN"/>
        </w:rPr>
        <w:t>和</w:t>
      </w:r>
      <w:r>
        <w:rPr>
          <w:rFonts w:hint="eastAsia" w:ascii="仿宋_GB2312" w:hAnsi="楷体" w:eastAsia="仿宋_GB2312" w:cs="楷体"/>
          <w:color w:val="000000"/>
          <w:sz w:val="32"/>
          <w:szCs w:val="32"/>
        </w:rPr>
        <w:t>公平正义理念</w:t>
      </w:r>
      <w:r>
        <w:rPr>
          <w:rFonts w:hint="eastAsia" w:ascii="仿宋_GB2312" w:hAnsi="楷体" w:eastAsia="仿宋_GB2312" w:cs="楷体"/>
          <w:color w:val="000000"/>
          <w:sz w:val="32"/>
          <w:szCs w:val="32"/>
          <w:lang w:eastAsia="zh-CN"/>
        </w:rPr>
        <w:t>，</w:t>
      </w:r>
      <w:r>
        <w:rPr>
          <w:rFonts w:hint="eastAsia" w:ascii="仿宋_GB2312" w:hAnsi="楷体" w:eastAsia="仿宋_GB2312" w:cs="楷体"/>
          <w:color w:val="000000"/>
          <w:sz w:val="32"/>
          <w:szCs w:val="32"/>
          <w:lang w:val="en-US" w:eastAsia="zh-CN"/>
        </w:rPr>
        <w:t>具有强烈使命感与社会责任感，</w:t>
      </w:r>
      <w:r>
        <w:rPr>
          <w:rFonts w:hint="eastAsia" w:ascii="仿宋_GB2312" w:hAnsi="楷体" w:eastAsia="仿宋_GB2312" w:cs="楷体"/>
          <w:color w:val="000000"/>
          <w:sz w:val="32"/>
          <w:szCs w:val="32"/>
          <w:lang w:eastAsia="zh-Hans"/>
        </w:rPr>
        <w:t>具有</w:t>
      </w:r>
      <w:r>
        <w:rPr>
          <w:rFonts w:hint="eastAsia" w:ascii="仿宋_GB2312" w:hAnsi="楷体" w:eastAsia="仿宋_GB2312" w:cs="楷体"/>
          <w:color w:val="000000"/>
          <w:sz w:val="32"/>
          <w:szCs w:val="32"/>
        </w:rPr>
        <w:t>人文关怀和科学精神</w:t>
      </w:r>
      <w:r>
        <w:rPr>
          <w:rFonts w:hint="eastAsia" w:ascii="仿宋_GB2312" w:hAnsi="楷体" w:eastAsia="仿宋_GB2312" w:cs="楷体"/>
          <w:color w:val="000000"/>
          <w:sz w:val="32"/>
          <w:szCs w:val="32"/>
          <w:lang w:eastAsia="zh-CN"/>
        </w:rPr>
        <w:t>。</w:t>
      </w:r>
    </w:p>
    <w:p>
      <w:pPr>
        <w:spacing w:line="540" w:lineRule="exact"/>
        <w:ind w:firstLine="640" w:firstLineChars="200"/>
        <w:rPr>
          <w:rFonts w:hint="eastAsia"/>
        </w:rPr>
      </w:pPr>
      <w:r>
        <w:rPr>
          <w:rFonts w:hint="eastAsia" w:ascii="仿宋_GB2312" w:hAnsi="仿宋_GB2312" w:eastAsia="仿宋_GB2312" w:cs="仿宋_GB2312"/>
          <w:color w:val="000000"/>
          <w:sz w:val="32"/>
          <w:szCs w:val="32"/>
          <w:lang w:val="en-US" w:eastAsia="zh-CN"/>
        </w:rPr>
        <w:t>目标2：</w:t>
      </w:r>
      <w:r>
        <w:rPr>
          <w:rFonts w:hint="eastAsia" w:ascii="仿宋_GB2312" w:hAnsi="仿宋_GB2312" w:eastAsia="仿宋_GB2312" w:cs="仿宋_GB2312"/>
          <w:color w:val="000000"/>
          <w:sz w:val="32"/>
          <w:szCs w:val="32"/>
        </w:rPr>
        <w:t>扎实掌握哲学基础知识，主要包括对哲学话语体系的初步认识，对哲学二级学科相关知识的熟练掌握，以及对哲学基本框架和观点的整体理解。了解国内外哲学界重要的理论前沿和发展动态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具有前瞻思维和哲学创新素养。</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目标</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通过研读</w:t>
      </w:r>
      <w:r>
        <w:rPr>
          <w:rFonts w:hint="eastAsia" w:ascii="仿宋_GB2312" w:hAnsi="仿宋_GB2312" w:eastAsia="仿宋_GB2312" w:cs="仿宋_GB2312"/>
          <w:color w:val="000000"/>
          <w:sz w:val="32"/>
          <w:szCs w:val="32"/>
          <w:lang w:eastAsia="zh-CN"/>
        </w:rPr>
        <w:t>哲学原著、写作哲学论文和开展哲学交流，</w:t>
      </w:r>
      <w:r>
        <w:rPr>
          <w:rFonts w:hint="eastAsia" w:ascii="仿宋_GB2312" w:hAnsi="仿宋_GB2312" w:eastAsia="仿宋_GB2312" w:cs="仿宋_GB2312"/>
          <w:color w:val="000000"/>
          <w:sz w:val="32"/>
          <w:szCs w:val="32"/>
          <w:lang w:val="en-US" w:eastAsia="zh-CN"/>
        </w:rPr>
        <w:t>具有</w:t>
      </w:r>
      <w:r>
        <w:rPr>
          <w:rFonts w:hint="eastAsia" w:ascii="仿宋_GB2312" w:hAnsi="仿宋_GB2312" w:eastAsia="仿宋_GB2312" w:cs="仿宋_GB2312"/>
          <w:color w:val="000000"/>
          <w:sz w:val="32"/>
          <w:szCs w:val="32"/>
        </w:rPr>
        <w:t>发现哲学问题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有效传递哲学知识</w:t>
      </w:r>
      <w:r>
        <w:rPr>
          <w:rFonts w:hint="eastAsia" w:ascii="仿宋_GB2312" w:hAnsi="仿宋_GB2312" w:eastAsia="仿宋_GB2312" w:cs="仿宋_GB2312"/>
          <w:color w:val="000000"/>
          <w:sz w:val="32"/>
          <w:szCs w:val="32"/>
        </w:rPr>
        <w:t>的能力，具备</w:t>
      </w:r>
      <w:r>
        <w:rPr>
          <w:rFonts w:hint="eastAsia" w:ascii="仿宋_GB2312" w:hAnsi="仿宋_GB2312" w:eastAsia="仿宋_GB2312" w:cs="仿宋_GB2312"/>
          <w:color w:val="000000"/>
          <w:sz w:val="32"/>
          <w:szCs w:val="32"/>
          <w:lang w:val="en-US" w:eastAsia="zh-CN"/>
        </w:rPr>
        <w:t>优秀</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理论</w:t>
      </w:r>
      <w:r>
        <w:rPr>
          <w:rFonts w:hint="eastAsia" w:ascii="仿宋_GB2312" w:hAnsi="仿宋_GB2312" w:eastAsia="仿宋_GB2312" w:cs="仿宋_GB2312"/>
          <w:color w:val="000000"/>
          <w:sz w:val="32"/>
          <w:szCs w:val="32"/>
        </w:rPr>
        <w:t>思维能力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语言表达能力和</w:t>
      </w:r>
      <w:r>
        <w:rPr>
          <w:rFonts w:hint="eastAsia" w:ascii="仿宋_GB2312" w:hAnsi="仿宋_GB2312" w:eastAsia="仿宋_GB2312" w:cs="仿宋_GB2312"/>
          <w:color w:val="000000"/>
          <w:sz w:val="32"/>
          <w:szCs w:val="32"/>
        </w:rPr>
        <w:t>综合创新能力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掌握哲学研究的</w:t>
      </w:r>
      <w:r>
        <w:rPr>
          <w:rFonts w:hint="eastAsia" w:ascii="仿宋_GB2312" w:hAnsi="仿宋_GB2312" w:eastAsia="仿宋_GB2312" w:cs="仿宋_GB2312"/>
          <w:color w:val="000000"/>
          <w:sz w:val="32"/>
          <w:szCs w:val="32"/>
          <w:lang w:val="en-US" w:eastAsia="zh-CN"/>
        </w:rPr>
        <w:t>初步</w:t>
      </w:r>
      <w:r>
        <w:rPr>
          <w:rFonts w:hint="eastAsia" w:ascii="仿宋_GB2312" w:hAnsi="仿宋_GB2312" w:eastAsia="仿宋_GB2312" w:cs="仿宋_GB2312"/>
          <w:color w:val="000000"/>
          <w:sz w:val="32"/>
          <w:szCs w:val="32"/>
        </w:rPr>
        <w:t>方法。</w:t>
      </w:r>
    </w:p>
    <w:p>
      <w:pPr>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目标</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具有一定的人文科学、社会科学、自然科学、思维科学的知识，</w:t>
      </w:r>
      <w:r>
        <w:rPr>
          <w:rFonts w:hint="eastAsia" w:ascii="仿宋_GB2312" w:hAnsi="仿宋_GB2312" w:eastAsia="仿宋_GB2312" w:cs="仿宋_GB2312"/>
          <w:color w:val="000000"/>
          <w:sz w:val="32"/>
          <w:szCs w:val="32"/>
        </w:rPr>
        <w:t>深刻理解哲学与科学的关系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形成跨学科和文理融合的视域。</w:t>
      </w:r>
    </w:p>
    <w:p>
      <w:pPr>
        <w:widowControl/>
        <w:spacing w:line="54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目标5：了解国内外重大实践问题和发展动态，关注前沿科技与社会发展问题，将理论与实践相结合，初步掌握使用哲学思维分析和</w:t>
      </w:r>
      <w:r>
        <w:rPr>
          <w:rFonts w:hint="eastAsia" w:ascii="仿宋_GB2312" w:hAnsi="仿宋_GB2312" w:eastAsia="仿宋_GB2312" w:cs="仿宋_GB2312"/>
          <w:color w:val="000000"/>
          <w:sz w:val="32"/>
          <w:szCs w:val="32"/>
        </w:rPr>
        <w:t>解决现实中的理论和实践难题</w:t>
      </w:r>
      <w:r>
        <w:rPr>
          <w:rFonts w:hint="eastAsia" w:ascii="仿宋_GB2312" w:hAnsi="仿宋_GB2312" w:eastAsia="仿宋_GB2312" w:cs="仿宋_GB2312"/>
          <w:color w:val="000000"/>
          <w:sz w:val="32"/>
          <w:szCs w:val="32"/>
          <w:lang w:val="en-US" w:eastAsia="zh-CN"/>
        </w:rPr>
        <w:t>的能力</w:t>
      </w:r>
      <w:r>
        <w:rPr>
          <w:rFonts w:hint="eastAsia" w:ascii="仿宋_GB2312" w:hAnsi="仿宋_GB2312" w:eastAsia="仿宋_GB2312" w:cs="仿宋_GB2312"/>
          <w:color w:val="000000"/>
          <w:sz w:val="32"/>
          <w:szCs w:val="32"/>
          <w:lang w:eastAsia="zh-CN"/>
        </w:rPr>
        <w:t>。</w:t>
      </w:r>
    </w:p>
    <w:p>
      <w:pPr>
        <w:tabs>
          <w:tab w:val="left" w:pos="588"/>
        </w:tabs>
        <w:spacing w:line="540" w:lineRule="exact"/>
        <w:ind w:firstLine="640" w:firstLineChars="200"/>
        <w:rPr>
          <w:rFonts w:hint="eastAsia"/>
          <w:lang w:eastAsia="zh-CN"/>
        </w:rPr>
      </w:pPr>
      <w:r>
        <w:rPr>
          <w:rFonts w:hint="eastAsia" w:ascii="仿宋_GB2312" w:hAnsi="楷体" w:eastAsia="仿宋_GB2312" w:cs="楷体"/>
          <w:color w:val="000000"/>
          <w:sz w:val="32"/>
          <w:szCs w:val="32"/>
          <w:lang w:val="en-US" w:eastAsia="zh-Hans"/>
        </w:rPr>
        <w:t>其中</w:t>
      </w:r>
      <w:r>
        <w:rPr>
          <w:rFonts w:hint="default" w:ascii="仿宋_GB2312" w:hAnsi="楷体" w:eastAsia="仿宋_GB2312" w:cs="楷体"/>
          <w:color w:val="000000"/>
          <w:sz w:val="32"/>
          <w:szCs w:val="32"/>
          <w:lang w:eastAsia="zh-Hans"/>
        </w:rPr>
        <w:t>，</w:t>
      </w:r>
      <w:r>
        <w:rPr>
          <w:rFonts w:hint="eastAsia" w:ascii="仿宋_GB2312" w:hAnsi="楷体" w:eastAsia="仿宋_GB2312" w:cs="楷体"/>
          <w:color w:val="000000"/>
          <w:sz w:val="32"/>
          <w:szCs w:val="32"/>
          <w:lang w:val="en-US" w:eastAsia="zh-Hans"/>
        </w:rPr>
        <w:t>目标</w:t>
      </w:r>
      <w:r>
        <w:rPr>
          <w:rFonts w:hint="default" w:ascii="仿宋_GB2312" w:hAnsi="楷体" w:eastAsia="仿宋_GB2312" w:cs="楷体"/>
          <w:color w:val="000000"/>
          <w:sz w:val="32"/>
          <w:szCs w:val="32"/>
          <w:lang w:eastAsia="zh-Hans"/>
        </w:rPr>
        <w:t>1</w:t>
      </w:r>
      <w:r>
        <w:rPr>
          <w:rFonts w:hint="eastAsia" w:ascii="仿宋_GB2312" w:hAnsi="楷体" w:eastAsia="仿宋_GB2312" w:cs="楷体"/>
          <w:color w:val="000000"/>
          <w:sz w:val="32"/>
          <w:szCs w:val="32"/>
          <w:lang w:eastAsia="zh-CN"/>
        </w:rPr>
        <w:t>、</w:t>
      </w:r>
      <w:r>
        <w:rPr>
          <w:rFonts w:hint="eastAsia" w:ascii="仿宋_GB2312" w:hAnsi="楷体" w:eastAsia="仿宋_GB2312" w:cs="楷体"/>
          <w:color w:val="000000"/>
          <w:sz w:val="32"/>
          <w:szCs w:val="32"/>
          <w:lang w:val="en-US" w:eastAsia="zh-CN"/>
        </w:rPr>
        <w:t>4</w:t>
      </w:r>
      <w:r>
        <w:rPr>
          <w:rFonts w:hint="eastAsia" w:ascii="仿宋_GB2312" w:hAnsi="楷体" w:eastAsia="仿宋_GB2312" w:cs="楷体"/>
          <w:color w:val="000000"/>
          <w:sz w:val="32"/>
          <w:szCs w:val="32"/>
          <w:lang w:val="en-US" w:eastAsia="zh-Hans"/>
        </w:rPr>
        <w:t>旨在培养学生的综合素养和能力</w:t>
      </w:r>
      <w:r>
        <w:rPr>
          <w:rFonts w:hint="default" w:ascii="仿宋_GB2312" w:hAnsi="楷体" w:eastAsia="仿宋_GB2312" w:cs="楷体"/>
          <w:color w:val="000000"/>
          <w:sz w:val="32"/>
          <w:szCs w:val="32"/>
          <w:lang w:eastAsia="zh-Hans"/>
        </w:rPr>
        <w:t>，</w:t>
      </w:r>
      <w:r>
        <w:rPr>
          <w:rFonts w:hint="eastAsia" w:ascii="仿宋_GB2312" w:hAnsi="楷体" w:eastAsia="仿宋_GB2312" w:cs="楷体"/>
          <w:color w:val="000000"/>
          <w:sz w:val="32"/>
          <w:szCs w:val="32"/>
          <w:lang w:val="en-US" w:eastAsia="zh-Hans"/>
        </w:rPr>
        <w:t>目标</w:t>
      </w:r>
      <w:r>
        <w:rPr>
          <w:rFonts w:hint="default" w:ascii="仿宋_GB2312" w:hAnsi="楷体" w:eastAsia="仿宋_GB2312" w:cs="楷体"/>
          <w:color w:val="000000"/>
          <w:sz w:val="32"/>
          <w:szCs w:val="32"/>
          <w:lang w:eastAsia="zh-Hans"/>
        </w:rPr>
        <w:t>2、3、</w:t>
      </w:r>
      <w:r>
        <w:rPr>
          <w:rFonts w:hint="eastAsia" w:ascii="仿宋_GB2312" w:hAnsi="楷体" w:eastAsia="仿宋_GB2312" w:cs="楷体"/>
          <w:color w:val="000000"/>
          <w:sz w:val="32"/>
          <w:szCs w:val="32"/>
          <w:lang w:val="en-US" w:eastAsia="zh-CN"/>
        </w:rPr>
        <w:t>5</w:t>
      </w:r>
      <w:r>
        <w:rPr>
          <w:rFonts w:hint="eastAsia" w:ascii="仿宋_GB2312" w:hAnsi="楷体" w:eastAsia="仿宋_GB2312" w:cs="楷体"/>
          <w:color w:val="000000"/>
          <w:sz w:val="32"/>
          <w:szCs w:val="32"/>
          <w:lang w:val="en-US" w:eastAsia="zh-Hans"/>
        </w:rPr>
        <w:t>旨在培养学生专业素养和能力</w:t>
      </w:r>
      <w:r>
        <w:rPr>
          <w:rFonts w:hint="default" w:ascii="仿宋_GB2312" w:hAnsi="楷体" w:eastAsia="仿宋_GB2312" w:cs="楷体"/>
          <w:color w:val="000000"/>
          <w:sz w:val="32"/>
          <w:szCs w:val="32"/>
          <w:lang w:eastAsia="zh-Hans"/>
        </w:rPr>
        <w:t>。</w:t>
      </w:r>
    </w:p>
    <w:p>
      <w:pPr>
        <w:widowControl/>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四、修业年限</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学制为 2 年，在校学习年限最长不超过 3 年。</w:t>
      </w:r>
    </w:p>
    <w:p>
      <w:pPr>
        <w:widowControl/>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五、辅修专业学分</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哲学辅修专业总学分为30学分。学生须在教学计划表中总分</w:t>
      </w:r>
      <w:r>
        <w:rPr>
          <w:rFonts w:hint="eastAsia" w:ascii="仿宋_GB2312" w:hAnsi="仿宋_GB2312" w:eastAsia="仿宋_GB2312" w:cs="仿宋_GB2312"/>
          <w:color w:val="000000"/>
          <w:kern w:val="0"/>
          <w:sz w:val="32"/>
          <w:szCs w:val="32"/>
          <w:lang w:val="en-US" w:eastAsia="zh-CN"/>
        </w:rPr>
        <w:t>50</w:t>
      </w:r>
      <w:r>
        <w:rPr>
          <w:rFonts w:hint="eastAsia" w:ascii="仿宋_GB2312" w:hAnsi="仿宋_GB2312" w:eastAsia="仿宋_GB2312" w:cs="仿宋_GB2312"/>
          <w:color w:val="000000"/>
          <w:kern w:val="0"/>
          <w:sz w:val="32"/>
          <w:szCs w:val="32"/>
        </w:rPr>
        <w:t>学分的专业核心课中修满30学分。</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修读哲学辅修专业的学生，完成哲学辅</w:t>
      </w:r>
      <w:bookmarkStart w:id="0" w:name="_Hlk54511976"/>
      <w:r>
        <w:rPr>
          <w:rFonts w:hint="eastAsia" w:ascii="仿宋_GB2312" w:hAnsi="仿宋_GB2312" w:eastAsia="仿宋_GB2312" w:cs="仿宋_GB2312"/>
          <w:color w:val="000000"/>
          <w:kern w:val="0"/>
          <w:sz w:val="32"/>
          <w:szCs w:val="32"/>
        </w:rPr>
        <w:t>修专业教学计划并获得规定的学分</w:t>
      </w:r>
      <w:bookmarkEnd w:id="0"/>
      <w:r>
        <w:rPr>
          <w:rFonts w:hint="eastAsia" w:ascii="仿宋_GB2312" w:hAnsi="仿宋_GB2312" w:eastAsia="仿宋_GB2312" w:cs="仿宋_GB2312"/>
          <w:color w:val="000000"/>
          <w:kern w:val="0"/>
          <w:sz w:val="32"/>
          <w:szCs w:val="32"/>
        </w:rPr>
        <w:t>，</w:t>
      </w:r>
      <w:bookmarkStart w:id="1" w:name="_Hlk54512024"/>
      <w:r>
        <w:rPr>
          <w:rFonts w:hint="eastAsia" w:ascii="仿宋_GB2312" w:hAnsi="仿宋_GB2312" w:eastAsia="仿宋_GB2312" w:cs="仿宋_GB2312"/>
          <w:color w:val="000000"/>
          <w:kern w:val="0"/>
          <w:sz w:val="32"/>
          <w:szCs w:val="32"/>
        </w:rPr>
        <w:t>在主修专业毕业证书上注明哲学辅修专业学习经历。</w:t>
      </w:r>
      <w:bookmarkEnd w:id="1"/>
      <w:r>
        <w:rPr>
          <w:rFonts w:hint="eastAsia" w:ascii="仿宋_GB2312" w:hAnsi="仿宋_GB2312" w:eastAsia="仿宋_GB2312" w:cs="仿宋_GB2312"/>
          <w:color w:val="000000"/>
          <w:kern w:val="0"/>
          <w:sz w:val="32"/>
          <w:szCs w:val="32"/>
        </w:rPr>
        <w:t>未达到哲学辅修专业规定条件的学生，其所学课程成绩及学分，按选修课方式记载。</w:t>
      </w:r>
    </w:p>
    <w:p>
      <w:pPr>
        <w:widowControl/>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六、辅修学士学位</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哲学辅修学士学位总学分为50学分。学生须在教学计划表中总分</w:t>
      </w:r>
      <w:r>
        <w:rPr>
          <w:rFonts w:hint="eastAsia" w:ascii="仿宋_GB2312" w:hAnsi="仿宋_GB2312" w:eastAsia="仿宋_GB2312" w:cs="仿宋_GB2312"/>
          <w:color w:val="000000"/>
          <w:kern w:val="0"/>
          <w:sz w:val="32"/>
          <w:szCs w:val="32"/>
          <w:lang w:val="en-US" w:eastAsia="zh-CN"/>
        </w:rPr>
        <w:t>50</w:t>
      </w:r>
      <w:r>
        <w:rPr>
          <w:rFonts w:hint="eastAsia" w:ascii="仿宋_GB2312" w:hAnsi="仿宋_GB2312" w:eastAsia="仿宋_GB2312" w:cs="仿宋_GB2312"/>
          <w:color w:val="000000"/>
          <w:kern w:val="0"/>
          <w:sz w:val="32"/>
          <w:szCs w:val="32"/>
        </w:rPr>
        <w:t>学分的专业核心课中修满30学分，</w:t>
      </w:r>
      <w:r>
        <w:rPr>
          <w:rFonts w:hint="eastAsia" w:ascii="仿宋_GB2312" w:hAnsi="仿宋_GB2312" w:eastAsia="仿宋_GB2312" w:cs="仿宋_GB2312"/>
          <w:color w:val="000000" w:themeColor="text1"/>
          <w:kern w:val="0"/>
          <w:sz w:val="32"/>
          <w:szCs w:val="32"/>
          <w14:textFill>
            <w14:solidFill>
              <w14:schemeClr w14:val="tx1"/>
            </w14:solidFill>
          </w14:textFill>
        </w:rPr>
        <w:t>在专业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发展</w:t>
      </w:r>
      <w:r>
        <w:rPr>
          <w:rFonts w:hint="eastAsia" w:ascii="仿宋_GB2312" w:hAnsi="仿宋_GB2312" w:eastAsia="仿宋_GB2312" w:cs="仿宋_GB2312"/>
          <w:color w:val="000000" w:themeColor="text1"/>
          <w:kern w:val="0"/>
          <w:sz w:val="32"/>
          <w:szCs w:val="32"/>
          <w14:textFill>
            <w14:solidFill>
              <w14:schemeClr w14:val="tx1"/>
            </w14:solidFill>
          </w14:textFill>
        </w:rPr>
        <w:t>课中修满1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学分，同时修读</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专业实习3</w:t>
      </w:r>
      <w:r>
        <w:rPr>
          <w:rFonts w:hint="eastAsia" w:ascii="仿宋_GB2312" w:hAnsi="仿宋_GB2312" w:eastAsia="仿宋_GB2312" w:cs="仿宋_GB2312"/>
          <w:color w:val="000000" w:themeColor="text1"/>
          <w:kern w:val="0"/>
          <w:sz w:val="32"/>
          <w:szCs w:val="32"/>
          <w14:textFill>
            <w14:solidFill>
              <w14:schemeClr w14:val="tx1"/>
            </w14:solidFill>
          </w14:textFill>
        </w:rPr>
        <w:t>学分，</w:t>
      </w:r>
      <w:r>
        <w:rPr>
          <w:rFonts w:hint="eastAsia" w:ascii="仿宋_GB2312" w:hAnsi="仿宋_GB2312" w:eastAsia="仿宋_GB2312" w:cs="仿宋_GB2312"/>
          <w:color w:val="000000"/>
          <w:kern w:val="0"/>
          <w:sz w:val="32"/>
          <w:szCs w:val="32"/>
        </w:rPr>
        <w:t>毕业论文6学分。</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修读哲学辅修学士学位的学生，完成辅修学士学位教学计划并获得规定的学分，且达到哲学辅修学士学位授予要求的，准予授予哲学辅修学士学位，并在主修学位证书上注明。修读哲学辅修学士学位的学生虽未达到授予辅修学士学位条件但满足哲学辅修专业规定条件的，在主修专业毕业证书上注明哲学辅修专业学习经历。</w:t>
      </w:r>
    </w:p>
    <w:p>
      <w:pPr>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七、辅修证书发放形式和要求</w:t>
      </w:r>
    </w:p>
    <w:p>
      <w:pPr>
        <w:spacing w:line="540" w:lineRule="exact"/>
        <w:ind w:firstLine="640" w:firstLineChars="200"/>
        <w:rPr>
          <w:rFonts w:ascii="仿宋_GB2312" w:hAnsi="仿宋_GB2312" w:eastAsia="仿宋_GB2312" w:cs="仿宋_GB2312"/>
          <w:color w:val="000000"/>
          <w:kern w:val="0"/>
          <w:sz w:val="32"/>
          <w:szCs w:val="32"/>
        </w:rPr>
      </w:pPr>
      <w:bookmarkStart w:id="2" w:name="_GoBack"/>
      <w:bookmarkEnd w:id="2"/>
      <w:r>
        <w:rPr>
          <w:rFonts w:hint="eastAsia" w:ascii="仿宋_GB2312" w:hAnsi="仿宋_GB2312" w:eastAsia="仿宋_GB2312" w:cs="仿宋_GB2312"/>
          <w:color w:val="000000"/>
          <w:kern w:val="0"/>
          <w:sz w:val="32"/>
          <w:szCs w:val="32"/>
        </w:rPr>
        <w:t>按照《教育部关于深化本科教育教学改革全面提高人才培养质量的意见》（教高〔2019〕6号）和学校有关规定：</w:t>
      </w:r>
    </w:p>
    <w:p>
      <w:pPr>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（1）辅修专业：辅修学历在主修专业的毕业证中标注， 不授予学位。对没有取得主修专业毕业证书的学生不得授予辅修专业学历证明。</w:t>
      </w:r>
    </w:p>
    <w:p>
      <w:pPr>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（2）辅修学士学位：辅修学士学位及学历在主修学士学位证书和毕业证中标注，不单独发放学位证和毕业证。对没有取得主修学士学位的学生不得授予辅修学士学位。</w:t>
      </w:r>
    </w:p>
    <w:p>
      <w:pPr>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八、辅修专业和辅修学士学位教学计划表</w:t>
      </w:r>
    </w:p>
    <w:tbl>
      <w:tblPr>
        <w:tblStyle w:val="6"/>
        <w:tblW w:w="5374" w:type="pct"/>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6"/>
        <w:gridCol w:w="1121"/>
        <w:gridCol w:w="2447"/>
        <w:gridCol w:w="566"/>
        <w:gridCol w:w="847"/>
        <w:gridCol w:w="675"/>
        <w:gridCol w:w="600"/>
        <w:gridCol w:w="566"/>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CellSpacing w:w="0" w:type="dxa"/>
        </w:trPr>
        <w:tc>
          <w:tcPr>
            <w:tcW w:w="300" w:type="pct"/>
            <w:vMerge w:val="restar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课程</w:t>
            </w:r>
          </w:p>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类别</w:t>
            </w:r>
          </w:p>
        </w:tc>
        <w:tc>
          <w:tcPr>
            <w:tcW w:w="626" w:type="pct"/>
            <w:vMerge w:val="restar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课程</w:t>
            </w:r>
          </w:p>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编号</w:t>
            </w:r>
          </w:p>
        </w:tc>
        <w:tc>
          <w:tcPr>
            <w:tcW w:w="1366" w:type="pct"/>
            <w:vMerge w:val="restar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课 程 名 称</w:t>
            </w:r>
          </w:p>
        </w:tc>
        <w:tc>
          <w:tcPr>
            <w:tcW w:w="316" w:type="pct"/>
            <w:vMerge w:val="restar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总学分</w:t>
            </w:r>
          </w:p>
        </w:tc>
        <w:tc>
          <w:tcPr>
            <w:tcW w:w="473" w:type="pct"/>
            <w:vMerge w:val="restar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总学时</w:t>
            </w:r>
          </w:p>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（周）</w:t>
            </w:r>
          </w:p>
        </w:tc>
        <w:tc>
          <w:tcPr>
            <w:tcW w:w="712" w:type="pct"/>
            <w:gridSpan w:val="2"/>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学时分配</w:t>
            </w:r>
          </w:p>
        </w:tc>
        <w:tc>
          <w:tcPr>
            <w:tcW w:w="316" w:type="pct"/>
            <w:vMerge w:val="restar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开课</w:t>
            </w:r>
          </w:p>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学期</w:t>
            </w:r>
          </w:p>
        </w:tc>
        <w:tc>
          <w:tcPr>
            <w:tcW w:w="888" w:type="pct"/>
            <w:vMerge w:val="restar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课程归</w:t>
            </w:r>
          </w:p>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1366"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16"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473"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讲授</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实践</w:t>
            </w:r>
          </w:p>
        </w:tc>
        <w:tc>
          <w:tcPr>
            <w:tcW w:w="316"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888"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trPr>
        <w:tc>
          <w:tcPr>
            <w:tcW w:w="300" w:type="pct"/>
            <w:vMerge w:val="restart"/>
            <w:vAlign w:val="center"/>
          </w:tcPr>
          <w:p>
            <w:pPr>
              <w:keepNext w:val="0"/>
              <w:keepLines w:val="0"/>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p>
            <w:pPr>
              <w:keepNext w:val="0"/>
              <w:keepLines w:val="0"/>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专</w:t>
            </w:r>
          </w:p>
          <w:p>
            <w:pPr>
              <w:keepNext w:val="0"/>
              <w:keepLines w:val="0"/>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业</w:t>
            </w:r>
          </w:p>
          <w:p>
            <w:pPr>
              <w:keepNext w:val="0"/>
              <w:keepLines w:val="0"/>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课（</w:t>
            </w:r>
            <w:r>
              <w:rPr>
                <w:rFonts w:hint="eastAsia" w:ascii="仿宋" w:hAnsi="仿宋" w:eastAsia="仿宋" w:cs="宋体"/>
                <w:bCs/>
                <w:kern w:val="0"/>
                <w:sz w:val="24"/>
                <w:szCs w:val="16"/>
                <w:lang w:val="en-US" w:eastAsia="zh-CN"/>
              </w:rPr>
              <w:t>基础</w:t>
            </w:r>
          </w:p>
          <w:p>
            <w:pPr>
              <w:keepNext w:val="0"/>
              <w:keepLines w:val="0"/>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w:t>
            </w:r>
          </w:p>
          <w:p>
            <w:pPr>
              <w:keepNext w:val="0"/>
              <w:keepLines w:val="0"/>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lang w:val="en-US" w:eastAsia="zh-CN"/>
              </w:rPr>
              <w:t>核心</w:t>
            </w:r>
            <w:r>
              <w:rPr>
                <w:rFonts w:hint="eastAsia" w:ascii="仿宋" w:hAnsi="仿宋" w:eastAsia="仿宋" w:cs="宋体"/>
                <w:bCs/>
                <w:kern w:val="0"/>
                <w:sz w:val="24"/>
                <w:szCs w:val="16"/>
              </w:rPr>
              <w:t>）</w:t>
            </w: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104304001</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哲学导论</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1</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104304002</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逻辑学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1</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1401204</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高等数学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1</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104304003</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科学技术史</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2</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105304001</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马克思主义哲学史</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2</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105304001</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中国哲学史（上）</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1</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105304002</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西方哲学史（上）</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1</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105304003</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中国哲学史（下）</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2</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105304004</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西方哲学史（下）</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2</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105304005</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马克思主义哲学原著选读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105304006</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中国哲学原著选读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2</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bidi="ar-SA"/>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105304007</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西方哲学原著选读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2</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bidi="ar-SA"/>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105304008</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伦理学导论</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bidi="ar-SA"/>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105304009</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美学导论</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4</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bidi="ar-SA"/>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105304010</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宗教学导论</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bidi="ar-SA"/>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105304011</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科学技术哲学导论</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3</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54</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4</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bidi="ar-SA"/>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Merge w:val="continue"/>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305304007</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学术研究与论文写作</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00"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1992" w:type="pct"/>
            <w:gridSpan w:val="2"/>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小计</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lang w:val="en-US" w:eastAsia="zh-CN"/>
              </w:rPr>
            </w:pPr>
            <w:r>
              <w:rPr>
                <w:rFonts w:hint="eastAsia" w:ascii="仿宋" w:hAnsi="仿宋" w:eastAsia="仿宋" w:cs="仿宋"/>
                <w:bCs/>
                <w:kern w:val="0"/>
                <w:sz w:val="24"/>
                <w:szCs w:val="16"/>
                <w:lang w:val="en-US" w:eastAsia="zh-CN"/>
              </w:rPr>
              <w:t>50</w:t>
            </w:r>
          </w:p>
        </w:tc>
        <w:tc>
          <w:tcPr>
            <w:tcW w:w="2390" w:type="pct"/>
            <w:gridSpan w:val="5"/>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修满</w:t>
            </w:r>
            <w:r>
              <w:rPr>
                <w:rFonts w:hint="eastAsia" w:ascii="仿宋" w:hAnsi="仿宋" w:eastAsia="仿宋" w:cs="宋体"/>
                <w:bCs/>
                <w:kern w:val="0"/>
                <w:sz w:val="24"/>
                <w:szCs w:val="16"/>
              </w:rPr>
              <w:t>30学分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lang w:val="en-US" w:eastAsia="zh-CN"/>
              </w:rPr>
            </w:pPr>
            <w:r>
              <w:rPr>
                <w:rFonts w:hint="eastAsia" w:ascii="仿宋" w:hAnsi="仿宋" w:eastAsia="仿宋" w:cs="仿宋"/>
                <w:bCs/>
                <w:kern w:val="0"/>
                <w:sz w:val="24"/>
                <w:szCs w:val="16"/>
                <w:lang w:val="en-US" w:eastAsia="zh-CN"/>
              </w:rPr>
              <w:t>专业发展课</w:t>
            </w: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307304001</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西方马克思主义专题</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307304002</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w:t>
            </w:r>
            <w:r>
              <w:rPr>
                <w:rFonts w:hint="default" w:ascii="仿宋" w:hAnsi="仿宋" w:eastAsia="仿宋" w:cs="宋体"/>
                <w:bCs/>
                <w:kern w:val="0"/>
                <w:sz w:val="24"/>
                <w:szCs w:val="16"/>
                <w:lang w:val="en-US" w:eastAsia="zh-CN"/>
              </w:rPr>
              <w:t>1844</w:t>
            </w:r>
            <w:r>
              <w:rPr>
                <w:rFonts w:hint="eastAsia" w:ascii="仿宋" w:hAnsi="仿宋" w:eastAsia="仿宋" w:cs="宋体"/>
                <w:bCs/>
                <w:kern w:val="0"/>
                <w:sz w:val="24"/>
                <w:szCs w:val="16"/>
                <w:lang w:val="en-US" w:eastAsia="zh-CN"/>
              </w:rPr>
              <w:t>年经济学哲学手稿》研读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307304003</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儒家经典研读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3</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307304004</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老庄专题研究</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307304005</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魏晋玄学经典研读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4</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307304006</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宋明理学专题</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4</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307304007</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明清儒学转型研究</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8</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307304008</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近现代中国哲学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307304009</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佛教要典研读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307304010</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早期中国道论研究</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307304011</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道教文化专题</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307304013</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儒家伦理学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307304014</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中国美学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307304015</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古希腊哲学经典研读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3</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307304016</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奥古斯丁与托马斯·</w:t>
            </w:r>
          </w:p>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阿奎纳研究</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4</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307304017</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《理想国》研读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307304018</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《诗学》研读</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307304019</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基督教专题</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307304020</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德国古典哲学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307304021</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现当代外国哲学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307304023</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当代法国哲学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rPr>
              <w:t>8</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307304024</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形而上学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3</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307304025</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知识论</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default" w:ascii="仿宋" w:hAnsi="仿宋" w:eastAsia="仿宋" w:cs="宋体"/>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307304026</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现象学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rPr>
              <w:t>4</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307304027</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分析哲学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307304028</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语言哲学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307304029</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数理逻辑</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rPr>
              <w:t>3</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1304218</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数学哲学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8</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1304217</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中国传统修养与认知</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1304212</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认知科学与哲学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N</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1304224</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人工智能专题</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7</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307304030</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心灵哲学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7</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307304031</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政治哲学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rPr>
              <w:t>5</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307304032</w:t>
            </w:r>
          </w:p>
        </w:tc>
        <w:tc>
          <w:tcPr>
            <w:tcW w:w="136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应用伦理学</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default" w:ascii="仿宋" w:hAnsi="仿宋" w:eastAsia="仿宋" w:cs="宋体"/>
                <w:bCs/>
                <w:kern w:val="0"/>
                <w:sz w:val="24"/>
                <w:szCs w:val="16"/>
                <w:lang w:val="en-US" w:eastAsia="zh-CN"/>
              </w:rPr>
              <w:t>2</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18</w:t>
            </w: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lang w:val="en-US" w:eastAsia="zh-CN"/>
              </w:rPr>
            </w:pPr>
            <w:r>
              <w:rPr>
                <w:rFonts w:hint="eastAsia" w:ascii="仿宋" w:hAnsi="仿宋" w:eastAsia="仿宋" w:cs="宋体"/>
                <w:bCs/>
                <w:kern w:val="0"/>
                <w:sz w:val="24"/>
                <w:szCs w:val="16"/>
                <w:lang w:val="en-US" w:eastAsia="zh-CN"/>
              </w:rPr>
              <w:t>36</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宋体"/>
                <w:bCs/>
                <w:kern w:val="0"/>
                <w:sz w:val="24"/>
                <w:szCs w:val="16"/>
                <w:lang w:val="en-US" w:eastAsia="zh-CN"/>
              </w:rPr>
            </w:pPr>
            <w:r>
              <w:rPr>
                <w:rFonts w:hint="eastAsia" w:ascii="仿宋" w:hAnsi="仿宋" w:eastAsia="仿宋" w:cs="宋体"/>
                <w:bCs/>
                <w:kern w:val="0"/>
                <w:sz w:val="24"/>
                <w:szCs w:val="16"/>
              </w:rPr>
              <w:t>7</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宋体"/>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00"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4699" w:type="pct"/>
            <w:gridSpan w:val="8"/>
            <w:vAlign w:val="center"/>
          </w:tcPr>
          <w:p>
            <w:pPr>
              <w:keepNext w:val="0"/>
              <w:keepLines w:val="0"/>
              <w:suppressLineNumbers w:val="0"/>
              <w:spacing w:before="0" w:beforeAutospacing="0" w:after="0" w:afterAutospacing="0"/>
              <w:ind w:left="0" w:right="0"/>
              <w:jc w:val="center"/>
              <w:rPr>
                <w:rFonts w:hint="default" w:ascii="仿宋" w:hAnsi="仿宋" w:eastAsia="仿宋" w:cs="仿宋"/>
                <w:bCs/>
                <w:color w:val="000000" w:themeColor="text1"/>
                <w:kern w:val="0"/>
                <w:sz w:val="24"/>
                <w:szCs w:val="16"/>
                <w14:textFill>
                  <w14:solidFill>
                    <w14:schemeClr w14:val="tx1"/>
                  </w14:solidFill>
                </w14:textFill>
              </w:rPr>
            </w:pPr>
            <w:r>
              <w:rPr>
                <w:rFonts w:hint="default" w:ascii="仿宋" w:hAnsi="仿宋" w:eastAsia="仿宋" w:cs="仿宋"/>
                <w:bCs/>
                <w:color w:val="000000" w:themeColor="text1"/>
                <w:kern w:val="0"/>
                <w:sz w:val="24"/>
                <w:szCs w:val="16"/>
                <w14:textFill>
                  <w14:solidFill>
                    <w14:schemeClr w14:val="tx1"/>
                  </w14:solidFill>
                </w14:textFill>
              </w:rPr>
              <w:t>修满</w:t>
            </w:r>
            <w:r>
              <w:rPr>
                <w:rFonts w:hint="eastAsia" w:ascii="仿宋" w:hAnsi="仿宋" w:eastAsia="仿宋" w:cs="仿宋"/>
                <w:bCs/>
                <w:color w:val="000000" w:themeColor="text1"/>
                <w:kern w:val="0"/>
                <w:sz w:val="24"/>
                <w:szCs w:val="16"/>
                <w14:textFill>
                  <w14:solidFill>
                    <w14:schemeClr w14:val="tx1"/>
                  </w14:solidFill>
                </w14:textFill>
              </w:rPr>
              <w:t>1</w:t>
            </w:r>
            <w:r>
              <w:rPr>
                <w:rFonts w:hint="eastAsia" w:ascii="仿宋" w:hAnsi="仿宋" w:eastAsia="仿宋" w:cs="仿宋"/>
                <w:bCs/>
                <w:color w:val="000000" w:themeColor="text1"/>
                <w:kern w:val="0"/>
                <w:sz w:val="24"/>
                <w:szCs w:val="16"/>
                <w:lang w:val="en-US" w:eastAsia="zh-CN"/>
                <w14:textFill>
                  <w14:solidFill>
                    <w14:schemeClr w14:val="tx1"/>
                  </w14:solidFill>
                </w14:textFill>
              </w:rPr>
              <w:t>1</w:t>
            </w:r>
            <w:r>
              <w:rPr>
                <w:rFonts w:hint="eastAsia" w:ascii="仿宋" w:hAnsi="仿宋" w:eastAsia="仿宋" w:cs="仿宋"/>
                <w:bCs/>
                <w:color w:val="000000" w:themeColor="text1"/>
                <w:kern w:val="0"/>
                <w:sz w:val="24"/>
                <w:szCs w:val="16"/>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blCellSpacing w:w="0" w:type="dxa"/>
        </w:trPr>
        <w:tc>
          <w:tcPr>
            <w:tcW w:w="300" w:type="pct"/>
            <w:vMerge w:val="continue"/>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color w:val="000000" w:themeColor="text1"/>
                <w:kern w:val="0"/>
                <w:sz w:val="24"/>
                <w:szCs w:val="16"/>
                <w14:textFill>
                  <w14:solidFill>
                    <w14:schemeClr w14:val="tx1"/>
                  </w14:solidFill>
                </w14:textFill>
              </w:rPr>
            </w:pPr>
            <w:r>
              <w:rPr>
                <w:rFonts w:hint="eastAsia" w:ascii="仿宋" w:hAnsi="仿宋" w:eastAsia="仿宋" w:cs="宋体"/>
                <w:bCs/>
                <w:color w:val="000000" w:themeColor="text1"/>
                <w:kern w:val="0"/>
                <w:sz w:val="24"/>
                <w:szCs w:val="16"/>
                <w:lang w:val="en-US" w:eastAsia="zh-CN"/>
                <w14:textFill>
                  <w14:solidFill>
                    <w14:schemeClr w14:val="tx1"/>
                  </w14:solidFill>
                </w14:textFill>
              </w:rPr>
              <w:t>集中</w:t>
            </w:r>
            <w:r>
              <w:rPr>
                <w:rFonts w:hint="eastAsia" w:ascii="仿宋" w:hAnsi="仿宋" w:eastAsia="仿宋" w:cs="宋体"/>
                <w:bCs/>
                <w:color w:val="000000" w:themeColor="text1"/>
                <w:kern w:val="0"/>
                <w:sz w:val="24"/>
                <w:szCs w:val="16"/>
                <w14:textFill>
                  <w14:solidFill>
                    <w14:schemeClr w14:val="tx1"/>
                  </w14:solidFill>
                </w14:textFill>
              </w:rPr>
              <w:t>实践环节</w:t>
            </w:r>
          </w:p>
        </w:tc>
        <w:tc>
          <w:tcPr>
            <w:tcW w:w="1366" w:type="pct"/>
            <w:vAlign w:val="center"/>
          </w:tcPr>
          <w:p>
            <w:pPr>
              <w:keepNext w:val="0"/>
              <w:keepLines w:val="0"/>
              <w:widowControl/>
              <w:suppressLineNumbers w:val="0"/>
              <w:spacing w:before="0" w:beforeAutospacing="0" w:after="0" w:afterAutospacing="0" w:line="330" w:lineRule="atLeast"/>
              <w:ind w:left="0" w:right="0"/>
              <w:rPr>
                <w:rFonts w:hint="default" w:ascii="仿宋" w:hAnsi="仿宋" w:eastAsia="仿宋" w:cs="仿宋"/>
                <w:bCs/>
                <w:color w:val="000000" w:themeColor="text1"/>
                <w:kern w:val="0"/>
                <w:sz w:val="24"/>
                <w:szCs w:val="16"/>
                <w:lang w:val="en-US" w:eastAsia="zh-CN"/>
                <w14:textFill>
                  <w14:solidFill>
                    <w14:schemeClr w14:val="tx1"/>
                  </w14:solidFill>
                </w14:textFill>
              </w:rPr>
            </w:pPr>
            <w:r>
              <w:rPr>
                <w:rFonts w:hint="eastAsia" w:ascii="仿宋" w:hAnsi="仿宋" w:eastAsia="仿宋" w:cs="仿宋"/>
                <w:bCs/>
                <w:color w:val="000000" w:themeColor="text1"/>
                <w:kern w:val="0"/>
                <w:sz w:val="24"/>
                <w:szCs w:val="16"/>
                <w:lang w:val="en-US" w:eastAsia="zh-CN"/>
                <w14:textFill>
                  <w14:solidFill>
                    <w14:schemeClr w14:val="tx1"/>
                  </w14:solidFill>
                </w14:textFill>
              </w:rPr>
              <w:t>专业实习</w:t>
            </w:r>
          </w:p>
        </w:tc>
        <w:tc>
          <w:tcPr>
            <w:tcW w:w="31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000000" w:themeColor="text1"/>
                <w:sz w:val="24"/>
                <w:szCs w:val="16"/>
                <w:lang w:val="en-US" w:eastAsia="zh-CN"/>
                <w14:textFill>
                  <w14:solidFill>
                    <w14:schemeClr w14:val="tx1"/>
                  </w14:solidFill>
                </w14:textFill>
              </w:rPr>
            </w:pPr>
            <w:r>
              <w:rPr>
                <w:rFonts w:hint="eastAsia" w:ascii="仿宋" w:hAnsi="仿宋" w:eastAsia="仿宋" w:cs="仿宋"/>
                <w:bCs/>
                <w:color w:val="000000" w:themeColor="text1"/>
                <w:sz w:val="24"/>
                <w:szCs w:val="16"/>
                <w:lang w:val="en-US" w:eastAsia="zh-CN"/>
                <w14:textFill>
                  <w14:solidFill>
                    <w14:schemeClr w14:val="tx1"/>
                  </w14:solidFill>
                </w14:textFill>
              </w:rPr>
              <w:t>3</w:t>
            </w:r>
          </w:p>
        </w:tc>
        <w:tc>
          <w:tcPr>
            <w:tcW w:w="473"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bCs/>
                <w:color w:val="000000" w:themeColor="text1"/>
                <w:sz w:val="24"/>
                <w:szCs w:val="16"/>
                <w:lang w:val="en-US" w:eastAsia="zh-CN"/>
                <w14:textFill>
                  <w14:solidFill>
                    <w14:schemeClr w14:val="tx1"/>
                  </w14:solidFill>
                </w14:textFill>
              </w:rPr>
            </w:pPr>
            <w:r>
              <w:rPr>
                <w:rFonts w:hint="eastAsia" w:ascii="仿宋" w:hAnsi="仿宋" w:eastAsia="仿宋" w:cs="仿宋"/>
                <w:bCs/>
                <w:color w:val="000000" w:themeColor="text1"/>
                <w:sz w:val="24"/>
                <w:szCs w:val="16"/>
                <w:lang w:val="en-US" w:eastAsia="zh-CN"/>
                <w14:textFill>
                  <w14:solidFill>
                    <w14:schemeClr w14:val="tx1"/>
                  </w14:solidFill>
                </w14:textFill>
              </w:rPr>
              <w:t>108</w:t>
            </w:r>
          </w:p>
        </w:tc>
        <w:tc>
          <w:tcPr>
            <w:tcW w:w="377"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bCs/>
                <w:color w:val="000000" w:themeColor="text1"/>
                <w:sz w:val="24"/>
                <w:szCs w:val="16"/>
                <w14:textFill>
                  <w14:solidFill>
                    <w14:schemeClr w14:val="tx1"/>
                  </w14:solidFill>
                </w14:textFill>
              </w:rPr>
            </w:pPr>
          </w:p>
        </w:tc>
        <w:tc>
          <w:tcPr>
            <w:tcW w:w="335"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bCs/>
                <w:color w:val="000000" w:themeColor="text1"/>
                <w:sz w:val="24"/>
                <w:szCs w:val="16"/>
                <w:lang w:val="en-US" w:eastAsia="zh-CN"/>
                <w14:textFill>
                  <w14:solidFill>
                    <w14:schemeClr w14:val="tx1"/>
                  </w14:solidFill>
                </w14:textFill>
              </w:rPr>
            </w:pPr>
            <w:r>
              <w:rPr>
                <w:rFonts w:hint="eastAsia" w:ascii="仿宋" w:hAnsi="仿宋" w:eastAsia="仿宋" w:cs="仿宋"/>
                <w:bCs/>
                <w:color w:val="000000" w:themeColor="text1"/>
                <w:sz w:val="24"/>
                <w:szCs w:val="16"/>
                <w:lang w:val="en-US" w:eastAsia="zh-CN"/>
                <w14:textFill>
                  <w14:solidFill>
                    <w14:schemeClr w14:val="tx1"/>
                  </w14:solidFill>
                </w14:textFill>
              </w:rPr>
              <w:t>108</w:t>
            </w:r>
          </w:p>
        </w:tc>
        <w:tc>
          <w:tcPr>
            <w:tcW w:w="31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000000" w:themeColor="text1"/>
                <w:sz w:val="24"/>
                <w:szCs w:val="16"/>
                <w:lang w:val="en-US" w:eastAsia="zh-CN"/>
                <w14:textFill>
                  <w14:solidFill>
                    <w14:schemeClr w14:val="tx1"/>
                  </w14:solidFill>
                </w14:textFill>
              </w:rPr>
            </w:pPr>
            <w:r>
              <w:rPr>
                <w:rFonts w:hint="eastAsia" w:ascii="仿宋" w:hAnsi="仿宋" w:eastAsia="仿宋" w:cs="仿宋"/>
                <w:bCs/>
                <w:color w:val="000000" w:themeColor="text1"/>
                <w:sz w:val="24"/>
                <w:szCs w:val="16"/>
                <w:lang w:val="en-US" w:eastAsia="zh-CN"/>
                <w14:textFill>
                  <w14:solidFill>
                    <w14:schemeClr w14:val="tx1"/>
                  </w14:solidFill>
                </w14:textFill>
              </w:rPr>
              <w:t>4</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color w:val="000000" w:themeColor="text1"/>
                <w:kern w:val="0"/>
                <w:sz w:val="24"/>
                <w:szCs w:val="16"/>
                <w14:textFill>
                  <w14:solidFill>
                    <w14:schemeClr w14:val="tx1"/>
                  </w14:solidFill>
                </w14:textFill>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00" w:type="pct"/>
            <w:vMerge w:val="continue"/>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626" w:type="pct"/>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Cs/>
                <w:kern w:val="0"/>
                <w:sz w:val="24"/>
                <w:szCs w:val="16"/>
                <w:lang w:val="en-US" w:eastAsia="zh-CN"/>
              </w:rPr>
            </w:pPr>
            <w:r>
              <w:rPr>
                <w:rFonts w:hint="eastAsia" w:ascii="仿宋" w:hAnsi="仿宋" w:eastAsia="仿宋" w:cs="仿宋"/>
                <w:bCs/>
                <w:kern w:val="0"/>
                <w:sz w:val="24"/>
                <w:szCs w:val="16"/>
                <w:lang w:val="en-US" w:eastAsia="zh-CN"/>
              </w:rPr>
              <w:t>毕业论文</w:t>
            </w:r>
          </w:p>
        </w:tc>
        <w:tc>
          <w:tcPr>
            <w:tcW w:w="1366" w:type="pct"/>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毕业设计（论文）</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仿宋"/>
                <w:bCs/>
                <w:kern w:val="0"/>
                <w:sz w:val="24"/>
                <w:szCs w:val="16"/>
              </w:rPr>
              <w:t>6</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lang w:val="en-US" w:eastAsia="zh-CN"/>
              </w:rPr>
            </w:pP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仿宋"/>
                <w:bCs/>
                <w:kern w:val="0"/>
                <w:sz w:val="24"/>
                <w:szCs w:val="16"/>
              </w:rPr>
              <w:t>6</w:t>
            </w: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default"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00" w:type="pct"/>
            <w:vMerge w:val="continue"/>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Cs/>
                <w:kern w:val="0"/>
                <w:sz w:val="24"/>
                <w:szCs w:val="16"/>
              </w:rPr>
            </w:pPr>
          </w:p>
        </w:tc>
        <w:tc>
          <w:tcPr>
            <w:tcW w:w="1992" w:type="pct"/>
            <w:gridSpan w:val="2"/>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小计</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default" w:ascii="仿宋" w:hAnsi="仿宋" w:eastAsia="仿宋" w:cs="宋体"/>
                <w:bCs/>
                <w:kern w:val="0"/>
                <w:sz w:val="24"/>
                <w:szCs w:val="16"/>
              </w:rPr>
              <w:t>20</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93" w:type="pct"/>
            <w:gridSpan w:val="3"/>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eastAsia" w:ascii="仿宋" w:hAnsi="仿宋" w:eastAsia="仿宋" w:cs="宋体"/>
                <w:bCs/>
                <w:kern w:val="0"/>
                <w:sz w:val="24"/>
                <w:szCs w:val="16"/>
              </w:rPr>
              <w:t>合 计</w:t>
            </w: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r>
              <w:rPr>
                <w:rFonts w:hint="default" w:ascii="仿宋" w:hAnsi="仿宋" w:eastAsia="仿宋" w:cs="宋体"/>
                <w:bCs/>
                <w:kern w:val="0"/>
                <w:sz w:val="24"/>
                <w:szCs w:val="16"/>
              </w:rPr>
              <w:t>50</w:t>
            </w:r>
          </w:p>
        </w:tc>
        <w:tc>
          <w:tcPr>
            <w:tcW w:w="473"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77"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35"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316"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c>
          <w:tcPr>
            <w:tcW w:w="888" w:type="pct"/>
            <w:vAlign w:val="center"/>
          </w:tcPr>
          <w:p>
            <w:pPr>
              <w:keepNext w:val="0"/>
              <w:keepLines w:val="0"/>
              <w:widowControl/>
              <w:suppressLineNumbers w:val="0"/>
              <w:spacing w:before="0" w:beforeAutospacing="0" w:after="0" w:afterAutospacing="0" w:line="330" w:lineRule="atLeast"/>
              <w:ind w:left="0" w:right="0"/>
              <w:jc w:val="center"/>
              <w:rPr>
                <w:rFonts w:hint="default" w:ascii="仿宋" w:hAnsi="仿宋" w:eastAsia="仿宋" w:cs="仿宋"/>
                <w:bCs/>
                <w:kern w:val="0"/>
                <w:sz w:val="24"/>
                <w:szCs w:val="16"/>
              </w:rPr>
            </w:pPr>
          </w:p>
        </w:tc>
      </w:tr>
    </w:tbl>
    <w:p>
      <w:pPr>
        <w:widowControl/>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九、授课方式</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本辅修班培养形式为跟班，不单独开班。如与主修专业课程冲突，可申请自修，不免考。学生本人须向任课教师递交书面申请，并附主修专业课程表（由原学院签字盖章），申请书经辅修授课老师签字同意后由哲学社会学院教学办公室保存。</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2.期末考试安排和原哲学班级保持一致，无故缺考视为旷考，取消补考资格，后果由本人承担；无正当理由不予申请缓考，如与主修专业考试冲突时可按照规定向哲学学院申请课程缓考。</w:t>
      </w:r>
    </w:p>
    <w:p>
      <w:pPr>
        <w:widowControl/>
        <w:spacing w:line="54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十、收费标准及方式</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1.收费标准</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依据有关规定，每学分按照100元人民币的标准收取学费，其收取方案分别如下：</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辅修专业：30学分，每个学分100元，共计人民币3000元，分两个学年收取</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辅修学位：50学分（包括毕业论文等学分在内），每个学分100元，共计人民币5000元，分两个学年收取。</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2.收费方式</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每学年开学后2周内，由学生本人通过支付宝自助缴纳学费，哲学社会学院提供学费缴纳收据。学生本人保管收据作为领取辅修专业学位证明或学历证明的凭据。学生需及时缴纳学费，不缴纳学费者不能参加课程学习和期末考试。 如因学生个人原因中途辍学等均不退学费。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Yzk3YzBiNmFjZGY2MDZiNTAxNGRhOGMwODlkYzMifQ=="/>
  </w:docVars>
  <w:rsids>
    <w:rsidRoot w:val="0750164B"/>
    <w:rsid w:val="00052DA8"/>
    <w:rsid w:val="0005336B"/>
    <w:rsid w:val="000C2EBF"/>
    <w:rsid w:val="000D29C6"/>
    <w:rsid w:val="000E77A5"/>
    <w:rsid w:val="001F586A"/>
    <w:rsid w:val="00240592"/>
    <w:rsid w:val="00260910"/>
    <w:rsid w:val="002E0EE4"/>
    <w:rsid w:val="00306A20"/>
    <w:rsid w:val="003F717A"/>
    <w:rsid w:val="00415DE2"/>
    <w:rsid w:val="005A2528"/>
    <w:rsid w:val="00617D66"/>
    <w:rsid w:val="006251B7"/>
    <w:rsid w:val="006A2614"/>
    <w:rsid w:val="006C3077"/>
    <w:rsid w:val="00740ADF"/>
    <w:rsid w:val="007A114F"/>
    <w:rsid w:val="007F7F9C"/>
    <w:rsid w:val="008009B3"/>
    <w:rsid w:val="00813E23"/>
    <w:rsid w:val="0081749C"/>
    <w:rsid w:val="00920865"/>
    <w:rsid w:val="009F26E7"/>
    <w:rsid w:val="00A66872"/>
    <w:rsid w:val="00AE43CD"/>
    <w:rsid w:val="00CB1385"/>
    <w:rsid w:val="00D16244"/>
    <w:rsid w:val="00DD1ADD"/>
    <w:rsid w:val="00DF4579"/>
    <w:rsid w:val="00DF7E5A"/>
    <w:rsid w:val="00E46964"/>
    <w:rsid w:val="00F74638"/>
    <w:rsid w:val="00FB51B8"/>
    <w:rsid w:val="00FC0D89"/>
    <w:rsid w:val="0750164B"/>
    <w:rsid w:val="0A777305"/>
    <w:rsid w:val="0E2D1AB8"/>
    <w:rsid w:val="161012B1"/>
    <w:rsid w:val="1A1E57B2"/>
    <w:rsid w:val="211535CB"/>
    <w:rsid w:val="24376D95"/>
    <w:rsid w:val="2F282C12"/>
    <w:rsid w:val="32A26D70"/>
    <w:rsid w:val="32CC2D9E"/>
    <w:rsid w:val="3A790B84"/>
    <w:rsid w:val="3C7F4051"/>
    <w:rsid w:val="3EA96551"/>
    <w:rsid w:val="52751ECE"/>
    <w:rsid w:val="5BBA0B4F"/>
    <w:rsid w:val="5FE62E42"/>
    <w:rsid w:val="611B0A3C"/>
    <w:rsid w:val="61F70AFF"/>
    <w:rsid w:val="63A71655"/>
    <w:rsid w:val="67534F3E"/>
    <w:rsid w:val="6B657311"/>
    <w:rsid w:val="6B761688"/>
    <w:rsid w:val="6EC6020D"/>
    <w:rsid w:val="73BA0F1C"/>
    <w:rsid w:val="785C7CED"/>
    <w:rsid w:val="79195D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Indent"/>
    <w:basedOn w:val="1"/>
    <w:qFormat/>
    <w:uiPriority w:val="0"/>
    <w:pPr>
      <w:ind w:firstLine="200" w:firstLineChars="200"/>
      <w:textAlignment w:val="baseline"/>
    </w:pPr>
    <w:rPr>
      <w:rFonts w:ascii="Calibri" w:hAnsi="Calibri"/>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3644</Words>
  <Characters>4246</Characters>
  <Lines>1</Lines>
  <Paragraphs>1</Paragraphs>
  <TotalTime>0</TotalTime>
  <ScaleCrop>false</ScaleCrop>
  <LinksUpToDate>false</LinksUpToDate>
  <CharactersWithSpaces>4257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2021-07-27T09:51:00Z</dcterms:created>
  <dc:creator>王淑萍</dc:creator>
  <cp:lastModifiedBy>Ann</cp:lastModifiedBy>
  <dcterms:modified xsi:type="dcterms:W3CDTF">2023-07-27T00:52:24Z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036BFBA480A6465A9402568AA775BF99_13</vt:lpwstr>
  </property>
</Properties>
</file>