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64" w:lineRule="auto"/>
        <w:ind w:firstLine="0" w:firstLineChars="0"/>
        <w:jc w:val="center"/>
        <w:rPr>
          <w:rFonts w:ascii="方正小标宋简体" w:hAnsi="微软雅黑" w:eastAsia="方正小标宋简体" w:cs="宋体"/>
          <w:bCs/>
          <w:color w:val="000000" w:themeColor="text1"/>
          <w:kern w:val="0"/>
          <w:sz w:val="40"/>
          <w:szCs w:val="40"/>
        </w:rPr>
      </w:pPr>
      <w:r>
        <w:rPr>
          <w:rFonts w:hint="eastAsia" w:ascii="方正小标宋简体" w:hAnsi="微软雅黑" w:eastAsia="方正小标宋简体" w:cs="宋体"/>
          <w:bCs/>
          <w:color w:val="000000" w:themeColor="text1"/>
          <w:kern w:val="0"/>
          <w:sz w:val="40"/>
          <w:szCs w:val="40"/>
        </w:rPr>
        <w:t>兰州大学哲学社会学院本研贯通</w:t>
      </w:r>
    </w:p>
    <w:p>
      <w:pPr>
        <w:adjustRightInd w:val="0"/>
        <w:snapToGrid w:val="0"/>
        <w:spacing w:line="264" w:lineRule="auto"/>
        <w:ind w:firstLine="0" w:firstLineChars="0"/>
        <w:jc w:val="center"/>
        <w:rPr>
          <w:rFonts w:eastAsia="方正小标宋简体"/>
          <w:bCs/>
          <w:color w:val="000000" w:themeColor="text1"/>
          <w:kern w:val="0"/>
          <w:sz w:val="40"/>
          <w:szCs w:val="40"/>
        </w:rPr>
      </w:pPr>
      <w:r>
        <w:rPr>
          <w:rFonts w:hint="eastAsia" w:ascii="方正小标宋简体" w:hAnsi="微软雅黑" w:eastAsia="方正小标宋简体" w:cs="宋体"/>
          <w:bCs/>
          <w:color w:val="000000" w:themeColor="text1"/>
          <w:kern w:val="0"/>
          <w:sz w:val="40"/>
          <w:szCs w:val="40"/>
        </w:rPr>
        <w:t>人才培养计划实施细则</w:t>
      </w:r>
    </w:p>
    <w:p>
      <w:pPr>
        <w:pStyle w:val="2"/>
        <w:spacing w:line="264" w:lineRule="auto"/>
        <w:ind w:firstLine="640"/>
        <w:rPr>
          <w:rFonts w:ascii="仿宋_GB2312" w:hAnsi="仿宋"/>
          <w:color w:val="000000" w:themeColor="text1"/>
          <w:szCs w:val="32"/>
        </w:rPr>
      </w:pPr>
      <w:r>
        <w:rPr>
          <w:rFonts w:hint="eastAsia" w:ascii="仿宋_GB2312" w:hAnsi="仿宋"/>
          <w:color w:val="000000" w:themeColor="text1"/>
          <w:szCs w:val="32"/>
        </w:rPr>
        <w:t>为深入学习贯彻习近平新时代中国特色社会主义思想，落实立德树人根本任务，践行“以学生为中心”的理念，有机衔接本科生与研究生阶段的知识学习、科研训练和能力培养，构建一流人才培养体系，同时实现人才培养内涵式变革，为优秀学生脱颖而出、施展才华搭建平台，哲学社会学院根据《兰州大学本研贯通人才培养计划实施办法》，结合学院实际情况，制定《兰州大学哲学社会学院</w:t>
      </w:r>
      <w:r>
        <w:rPr>
          <w:rFonts w:hint="eastAsia" w:ascii="仿宋_GB2312" w:hAnsi="仿宋"/>
          <w:color w:val="000000" w:themeColor="text1"/>
          <w:szCs w:val="32"/>
          <w:lang w:val="en-US" w:eastAsia="zh-CN"/>
        </w:rPr>
        <w:t>2022年</w:t>
      </w:r>
      <w:r>
        <w:rPr>
          <w:rFonts w:hint="eastAsia" w:ascii="仿宋_GB2312" w:hAnsi="仿宋"/>
          <w:color w:val="000000" w:themeColor="text1"/>
          <w:szCs w:val="32"/>
        </w:rPr>
        <w:t>本研贯通人才培养计划实施细则》。</w:t>
      </w:r>
    </w:p>
    <w:p>
      <w:pPr>
        <w:numPr>
          <w:ilvl w:val="0"/>
          <w:numId w:val="1"/>
        </w:numPr>
        <w:spacing w:line="264" w:lineRule="auto"/>
        <w:ind w:firstLine="643"/>
        <w:jc w:val="left"/>
        <w:rPr>
          <w:rFonts w:ascii="黑体" w:hAnsi="黑体" w:eastAsia="黑体" w:cs="Times New Roman"/>
          <w:b/>
          <w:color w:val="000000" w:themeColor="text1"/>
          <w:szCs w:val="32"/>
        </w:rPr>
      </w:pPr>
      <w:r>
        <w:rPr>
          <w:rFonts w:hint="eastAsia" w:ascii="黑体" w:hAnsi="黑体" w:eastAsia="黑体" w:cs="Times New Roman"/>
          <w:b/>
          <w:color w:val="000000" w:themeColor="text1"/>
          <w:szCs w:val="32"/>
        </w:rPr>
        <w:t>总体原则</w:t>
      </w:r>
    </w:p>
    <w:p>
      <w:pPr>
        <w:pStyle w:val="2"/>
        <w:ind w:firstLine="640"/>
        <w:rPr>
          <w:color w:val="000000" w:themeColor="text1"/>
        </w:rPr>
      </w:pPr>
      <w:r>
        <w:rPr>
          <w:rFonts w:hint="eastAsia"/>
          <w:color w:val="000000" w:themeColor="text1"/>
        </w:rPr>
        <w:t>哲学社会学院本研贯通计划施行“2+1+3”的“本硕连读”模式，其中“2”为本科四年制的本科大类学习年限，“1+3”为本研贯通学习年限。本科学籍第二学年末实施本研贯通计划学生选拔；第三学年开始实施本研贯通计划人才培养方案，开展针对性科研训练；本科学籍最后一学年初择优分流，通过考核者，获得免试攻读研究生资格，继续本硕贯通计划培养，未获得免试攻读研究生资格者，转入相关专业继续本科阶段学习。</w:t>
      </w:r>
    </w:p>
    <w:p>
      <w:pPr>
        <w:widowControl w:val="0"/>
        <w:spacing w:line="264" w:lineRule="auto"/>
        <w:ind w:firstLine="643"/>
        <w:rPr>
          <w:rFonts w:ascii="仿宋_GB2312" w:hAnsi="仿宋" w:eastAsia="黑体" w:cs="宋体"/>
          <w:color w:val="000000" w:themeColor="text1"/>
          <w:szCs w:val="32"/>
        </w:rPr>
      </w:pPr>
      <w:r>
        <w:rPr>
          <w:rFonts w:hint="eastAsia" w:ascii="黑体" w:hAnsi="黑体" w:eastAsia="黑体" w:cs="Times New Roman"/>
          <w:b/>
          <w:color w:val="000000" w:themeColor="text1"/>
          <w:szCs w:val="32"/>
        </w:rPr>
        <w:t>二、组织领导</w:t>
      </w:r>
    </w:p>
    <w:p>
      <w:pPr>
        <w:ind w:firstLine="640"/>
        <w:rPr>
          <w:color w:val="000000" w:themeColor="text1"/>
        </w:rPr>
      </w:pPr>
      <w:r>
        <w:rPr>
          <w:rFonts w:hint="eastAsia"/>
          <w:color w:val="000000" w:themeColor="text1"/>
        </w:rPr>
        <w:t>学院成立本研贯通人才培养计划工作小组：</w:t>
      </w:r>
    </w:p>
    <w:p>
      <w:pPr>
        <w:ind w:firstLine="640"/>
        <w:rPr>
          <w:color w:val="000000" w:themeColor="text1"/>
        </w:rPr>
      </w:pPr>
      <w:r>
        <w:rPr>
          <w:rFonts w:hint="eastAsia"/>
          <w:color w:val="000000" w:themeColor="text1"/>
        </w:rPr>
        <w:t xml:space="preserve">组长：陈声柏、孙立国  </w:t>
      </w:r>
    </w:p>
    <w:p>
      <w:pPr>
        <w:ind w:firstLine="640"/>
        <w:rPr>
          <w:color w:val="000000" w:themeColor="text1"/>
        </w:rPr>
      </w:pPr>
      <w:r>
        <w:rPr>
          <w:rFonts w:hint="eastAsia"/>
          <w:color w:val="000000" w:themeColor="text1"/>
        </w:rPr>
        <w:t>副组长：张言亮、周亚平、王树莲、马世英</w:t>
      </w:r>
    </w:p>
    <w:p>
      <w:pPr>
        <w:ind w:firstLine="640"/>
        <w:rPr>
          <w:color w:val="000000" w:themeColor="text1"/>
        </w:rPr>
      </w:pPr>
      <w:r>
        <w:rPr>
          <w:rFonts w:hint="eastAsia"/>
          <w:color w:val="000000" w:themeColor="text1"/>
        </w:rPr>
        <w:t>成员：彭战果、唐远雄、杨慧茹、吴晓敏、张钰炀及其他教师代表</w:t>
      </w:r>
    </w:p>
    <w:p>
      <w:pPr>
        <w:pStyle w:val="2"/>
        <w:ind w:firstLine="640"/>
        <w:rPr>
          <w:color w:val="000000" w:themeColor="text1"/>
        </w:rPr>
      </w:pPr>
      <w:r>
        <w:rPr>
          <w:rFonts w:hint="eastAsia"/>
          <w:color w:val="000000" w:themeColor="text1"/>
        </w:rPr>
        <w:t>工作小组负责组织实施学生选拔、导师遴选、培养方案制定及实施、学生考核与分流、评价和管理等，建立在校生、毕业生质量跟踪调查与反馈机制和人才成长数据库，并根据质量监测和反馈信息不断完善实施细则，持续优化人才培养机制。学院本研贯通计划工作小组接受学校、学院教学督导的监督和指导。</w:t>
      </w:r>
    </w:p>
    <w:p>
      <w:pPr>
        <w:widowControl w:val="0"/>
        <w:spacing w:line="264" w:lineRule="auto"/>
        <w:ind w:firstLine="643"/>
        <w:rPr>
          <w:rFonts w:ascii="黑体" w:hAnsi="黑体" w:eastAsia="黑体" w:cs="Times New Roman"/>
          <w:b/>
          <w:color w:val="000000" w:themeColor="text1"/>
          <w:szCs w:val="32"/>
        </w:rPr>
      </w:pPr>
      <w:r>
        <w:rPr>
          <w:rFonts w:hint="eastAsia" w:ascii="黑体" w:hAnsi="黑体" w:eastAsia="黑体" w:cs="Times New Roman"/>
          <w:b/>
          <w:color w:val="000000" w:themeColor="text1"/>
          <w:szCs w:val="32"/>
        </w:rPr>
        <w:t>三、选拔方案</w:t>
      </w:r>
    </w:p>
    <w:p>
      <w:pPr>
        <w:ind w:firstLine="640"/>
        <w:rPr>
          <w:color w:val="000000" w:themeColor="text1"/>
        </w:rPr>
      </w:pPr>
      <w:r>
        <w:rPr>
          <w:rFonts w:hint="eastAsia"/>
          <w:color w:val="000000" w:themeColor="text1"/>
        </w:rPr>
        <w:t>本科学籍第二学年末，根据兰州大学教务处下达的指标，哲学社会学院面向全院二年级本科生开展选拔工作，通过选拔者方可进入本研贯通计划学习。</w:t>
      </w:r>
    </w:p>
    <w:p>
      <w:pPr>
        <w:pStyle w:val="2"/>
        <w:ind w:firstLine="640"/>
        <w:rPr>
          <w:color w:val="000000" w:themeColor="text1"/>
        </w:rPr>
      </w:pPr>
      <w:r>
        <w:rPr>
          <w:rFonts w:hint="eastAsia"/>
          <w:color w:val="000000" w:themeColor="text1"/>
        </w:rPr>
        <w:t>（一）选拔原则</w:t>
      </w:r>
    </w:p>
    <w:p>
      <w:pPr>
        <w:pStyle w:val="2"/>
        <w:ind w:firstLine="640"/>
        <w:rPr>
          <w:color w:val="000000" w:themeColor="text1"/>
        </w:rPr>
      </w:pPr>
      <w:r>
        <w:rPr>
          <w:rFonts w:hint="eastAsia"/>
          <w:color w:val="000000" w:themeColor="text1"/>
        </w:rPr>
        <w:t>根据具体条件严格把关，坚持公开、公平、公正原则，在评价体系科学、工作程序透明的基础上对学生进行全面衡量。既注重对学生思想表现、道德品质等方面的考查，也综合考察学生在综合素质、科研成果、竞赛获奖、科研训练、志愿服务经历等方面的表现，引导学生全面发展。</w:t>
      </w:r>
    </w:p>
    <w:p>
      <w:pPr>
        <w:pStyle w:val="2"/>
        <w:ind w:firstLine="640"/>
        <w:rPr>
          <w:color w:val="000000" w:themeColor="text1"/>
        </w:rPr>
      </w:pPr>
      <w:r>
        <w:rPr>
          <w:rFonts w:hint="eastAsia"/>
          <w:color w:val="000000" w:themeColor="text1"/>
        </w:rPr>
        <w:t>（二）申请资格</w:t>
      </w:r>
    </w:p>
    <w:p>
      <w:pPr>
        <w:pStyle w:val="2"/>
        <w:ind w:firstLine="640"/>
        <w:rPr>
          <w:color w:val="000000" w:themeColor="text1"/>
        </w:rPr>
      </w:pPr>
      <w:r>
        <w:rPr>
          <w:rFonts w:hint="eastAsia"/>
          <w:color w:val="000000" w:themeColor="text1"/>
        </w:rPr>
        <w:t>我院20</w:t>
      </w:r>
      <w:r>
        <w:rPr>
          <w:rFonts w:hint="eastAsia"/>
          <w:color w:val="000000" w:themeColor="text1"/>
          <w:lang w:val="en-US" w:eastAsia="zh-CN"/>
        </w:rPr>
        <w:t>20</w:t>
      </w:r>
      <w:r>
        <w:rPr>
          <w:rFonts w:hint="eastAsia"/>
          <w:color w:val="000000" w:themeColor="text1"/>
        </w:rPr>
        <w:t>级本科生（不含第二学士学位学生），一贯学业表现良好，德智体美劳全面发展，且满足以下条件者，具有申请资格：</w:t>
      </w:r>
    </w:p>
    <w:p>
      <w:pPr>
        <w:pStyle w:val="2"/>
        <w:ind w:firstLine="640"/>
        <w:rPr>
          <w:color w:val="000000" w:themeColor="text1"/>
        </w:rPr>
      </w:pPr>
      <w:r>
        <w:rPr>
          <w:rFonts w:hint="eastAsia"/>
          <w:color w:val="000000" w:themeColor="text1"/>
        </w:rPr>
        <w:t>1.思想品德考核合格，无任何违法违纪、受处分和不良学风记录。</w:t>
      </w:r>
    </w:p>
    <w:p>
      <w:pPr>
        <w:pStyle w:val="2"/>
        <w:ind w:firstLine="640"/>
        <w:rPr>
          <w:color w:val="000000" w:themeColor="text1"/>
        </w:rPr>
      </w:pPr>
      <w:r>
        <w:rPr>
          <w:rFonts w:hint="eastAsia"/>
          <w:color w:val="000000" w:themeColor="text1"/>
        </w:rPr>
        <w:t>2.勤奋学习，刻苦钻研，成绩优秀。</w:t>
      </w:r>
    </w:p>
    <w:p>
      <w:pPr>
        <w:pStyle w:val="2"/>
        <w:ind w:firstLine="640"/>
        <w:rPr>
          <w:color w:val="000000" w:themeColor="text1"/>
        </w:rPr>
      </w:pPr>
      <w:r>
        <w:rPr>
          <w:rFonts w:hint="eastAsia"/>
          <w:color w:val="000000" w:themeColor="text1"/>
        </w:rPr>
        <w:t>本科学籍第二学年末，必修和限选学分绩点排名前15%（含）的本科生具有申请资格。</w:t>
      </w:r>
    </w:p>
    <w:p>
      <w:pPr>
        <w:pStyle w:val="2"/>
        <w:ind w:firstLine="640"/>
        <w:rPr>
          <w:color w:val="000000" w:themeColor="text1"/>
        </w:rPr>
      </w:pPr>
      <w:r>
        <w:rPr>
          <w:rFonts w:hint="eastAsia"/>
          <w:color w:val="000000" w:themeColor="text1"/>
        </w:rPr>
        <w:t>3.全国大学外语四级考试成绩须达到425分及以上。</w:t>
      </w:r>
    </w:p>
    <w:p>
      <w:pPr>
        <w:pStyle w:val="2"/>
        <w:ind w:firstLine="640"/>
        <w:rPr>
          <w:color w:val="000000" w:themeColor="text1"/>
        </w:rPr>
      </w:pPr>
      <w:r>
        <w:rPr>
          <w:rFonts w:hint="eastAsia"/>
          <w:color w:val="000000" w:themeColor="text1"/>
        </w:rPr>
        <w:t>（三）选拔程序</w:t>
      </w:r>
    </w:p>
    <w:p>
      <w:pPr>
        <w:ind w:firstLine="640"/>
        <w:rPr>
          <w:color w:val="000000" w:themeColor="text1"/>
        </w:rPr>
      </w:pPr>
      <w:r>
        <w:rPr>
          <w:rFonts w:hint="eastAsia"/>
          <w:color w:val="000000" w:themeColor="text1"/>
        </w:rPr>
        <w:t>各项工作严格按照如下程序展开：</w:t>
      </w:r>
    </w:p>
    <w:p>
      <w:pPr>
        <w:ind w:firstLine="640"/>
        <w:rPr>
          <w:rFonts w:hint="eastAsia"/>
          <w:color w:val="000000" w:themeColor="text1"/>
        </w:rPr>
      </w:pPr>
      <w:r>
        <w:rPr>
          <w:rFonts w:hint="eastAsia"/>
          <w:color w:val="000000" w:themeColor="text1"/>
        </w:rPr>
        <w:t>1.</w:t>
      </w:r>
      <w:r>
        <w:rPr>
          <w:rFonts w:hint="eastAsia"/>
          <w:color w:val="000000" w:themeColor="text1"/>
          <w:lang w:val="en-US" w:eastAsia="zh-CN"/>
        </w:rPr>
        <w:t>5月26日</w:t>
      </w:r>
      <w:r>
        <w:rPr>
          <w:rFonts w:hint="eastAsia"/>
          <w:color w:val="000000" w:themeColor="text1"/>
        </w:rPr>
        <w:t>，学院确定选拔工作具体实施细则，并召开动员会，让学生了解选拔工作实施细则等相关政策内容。</w:t>
      </w:r>
    </w:p>
    <w:p>
      <w:pPr>
        <w:ind w:firstLine="640"/>
        <w:rPr>
          <w:color w:val="000000" w:themeColor="text1"/>
        </w:rPr>
      </w:pPr>
      <w:r>
        <w:rPr>
          <w:rFonts w:hint="eastAsia"/>
          <w:color w:val="000000" w:themeColor="text1"/>
        </w:rPr>
        <w:t>2.具有申请</w:t>
      </w:r>
      <w:r>
        <w:rPr>
          <w:rFonts w:hint="eastAsia"/>
          <w:color w:val="000000" w:themeColor="text1"/>
          <w:lang w:val="en-US" w:eastAsia="zh-CN"/>
        </w:rPr>
        <w:t>意向</w:t>
      </w:r>
      <w:r>
        <w:rPr>
          <w:rFonts w:hint="eastAsia"/>
          <w:color w:val="000000" w:themeColor="text1"/>
        </w:rPr>
        <w:t>的学生，</w:t>
      </w:r>
      <w:r>
        <w:rPr>
          <w:rFonts w:hint="eastAsia"/>
          <w:color w:val="000000" w:themeColor="text1"/>
          <w:lang w:val="en-US" w:eastAsia="zh-CN"/>
        </w:rPr>
        <w:t>6月1日前与教学秘书联系，沟通具体意向情况。</w:t>
      </w:r>
    </w:p>
    <w:p>
      <w:pPr>
        <w:ind w:firstLine="640"/>
        <w:rPr>
          <w:color w:val="000000" w:themeColor="text1"/>
        </w:rPr>
      </w:pPr>
      <w:r>
        <w:rPr>
          <w:rFonts w:hint="eastAsia"/>
          <w:color w:val="000000" w:themeColor="text1"/>
          <w:lang w:val="en-US" w:eastAsia="zh-CN"/>
        </w:rPr>
        <w:t>3</w:t>
      </w:r>
      <w:r>
        <w:rPr>
          <w:rFonts w:hint="eastAsia"/>
          <w:color w:val="000000" w:themeColor="text1"/>
        </w:rPr>
        <w:t>.具有申请资格的学生，9月</w:t>
      </w:r>
      <w:r>
        <w:rPr>
          <w:rFonts w:hint="eastAsia"/>
          <w:color w:val="000000" w:themeColor="text1"/>
          <w:lang w:val="en-US" w:eastAsia="zh-CN"/>
        </w:rPr>
        <w:t>6</w:t>
      </w:r>
      <w:r>
        <w:rPr>
          <w:rFonts w:hint="eastAsia"/>
          <w:color w:val="000000" w:themeColor="text1"/>
        </w:rPr>
        <w:t>日前向学院提交申请，并附成绩单、相关科研成果、竞赛获奖、科研训练情况等材料，同时准备答辩PPT，向专家组介绍本人的代表性成果、奖项情况，以及个人学术兴趣、学习规划等。</w:t>
      </w:r>
    </w:p>
    <w:p>
      <w:pPr>
        <w:pStyle w:val="2"/>
        <w:ind w:firstLine="640"/>
        <w:rPr>
          <w:color w:val="000000" w:themeColor="text1"/>
        </w:rPr>
      </w:pPr>
      <w:r>
        <w:rPr>
          <w:rFonts w:hint="eastAsia"/>
          <w:color w:val="000000" w:themeColor="text1"/>
          <w:lang w:val="en-US" w:eastAsia="zh-CN"/>
        </w:rPr>
        <w:t>4</w:t>
      </w:r>
      <w:r>
        <w:rPr>
          <w:rFonts w:hint="eastAsia"/>
          <w:color w:val="000000" w:themeColor="text1"/>
        </w:rPr>
        <w:t>.学院本科教学秘书对申请者材料真实性进行审核，并于9月</w:t>
      </w:r>
      <w:r>
        <w:rPr>
          <w:rFonts w:hint="eastAsia"/>
          <w:color w:val="000000" w:themeColor="text1"/>
          <w:lang w:val="en-US" w:eastAsia="zh-CN"/>
        </w:rPr>
        <w:t>12</w:t>
      </w:r>
      <w:r>
        <w:rPr>
          <w:rFonts w:hint="eastAsia"/>
          <w:color w:val="000000" w:themeColor="text1"/>
        </w:rPr>
        <w:t>日前在学院网站公示符合条件的入围考核名单。</w:t>
      </w:r>
    </w:p>
    <w:p>
      <w:pPr>
        <w:ind w:firstLine="640"/>
        <w:rPr>
          <w:rFonts w:hint="eastAsia"/>
          <w:color w:val="000000" w:themeColor="text1"/>
        </w:rPr>
      </w:pPr>
      <w:r>
        <w:rPr>
          <w:rFonts w:hint="eastAsia"/>
          <w:color w:val="000000" w:themeColor="text1"/>
          <w:lang w:val="en-US" w:eastAsia="zh-CN"/>
        </w:rPr>
        <w:t>5</w:t>
      </w:r>
      <w:r>
        <w:rPr>
          <w:rFonts w:hint="eastAsia"/>
          <w:color w:val="000000" w:themeColor="text1"/>
        </w:rPr>
        <w:t>.9月</w:t>
      </w:r>
      <w:r>
        <w:rPr>
          <w:rFonts w:hint="eastAsia"/>
          <w:color w:val="000000" w:themeColor="text1"/>
          <w:lang w:val="en-US" w:eastAsia="zh-CN"/>
        </w:rPr>
        <w:t>13</w:t>
      </w:r>
      <w:r>
        <w:rPr>
          <w:rFonts w:hint="eastAsia"/>
          <w:color w:val="000000" w:themeColor="text1"/>
        </w:rPr>
        <w:t>日—</w:t>
      </w:r>
      <w:r>
        <w:rPr>
          <w:rFonts w:hint="eastAsia"/>
          <w:color w:val="000000" w:themeColor="text1"/>
          <w:lang w:val="en-US" w:eastAsia="zh-CN"/>
        </w:rPr>
        <w:t>25</w:t>
      </w:r>
      <w:r>
        <w:rPr>
          <w:rFonts w:hint="eastAsia"/>
          <w:color w:val="000000" w:themeColor="text1"/>
        </w:rPr>
        <w:t>日，学院成立审核评议专家小组进行现场考核答辩。依据学院评分标准，评议小组通过答辩等形式对学生进行考核和评分。学院汇总计算综合评价得分，与学业成绩的权重分数相加得到最终总成绩，依据总成绩排序从高到低确定拟选拔名单。</w:t>
      </w:r>
    </w:p>
    <w:p>
      <w:pPr>
        <w:ind w:firstLine="640"/>
        <w:rPr>
          <w:color w:val="000000" w:themeColor="text1"/>
        </w:rPr>
      </w:pPr>
      <w:r>
        <w:rPr>
          <w:rFonts w:hint="eastAsia"/>
          <w:color w:val="000000" w:themeColor="text1"/>
          <w:lang w:val="en-US" w:eastAsia="zh-CN"/>
        </w:rPr>
        <w:t>6</w:t>
      </w:r>
      <w:r>
        <w:rPr>
          <w:rFonts w:hint="eastAsia"/>
          <w:color w:val="000000" w:themeColor="text1"/>
        </w:rPr>
        <w:t>.按照排名最终确定具备</w:t>
      </w:r>
      <w:r>
        <w:rPr>
          <w:rFonts w:hint="eastAsia"/>
          <w:color w:val="000000" w:themeColor="text1"/>
          <w:lang w:val="en-US" w:eastAsia="zh-CN"/>
        </w:rPr>
        <w:t>学校</w:t>
      </w:r>
      <w:r>
        <w:rPr>
          <w:rFonts w:hint="eastAsia"/>
          <w:color w:val="000000" w:themeColor="text1"/>
        </w:rPr>
        <w:t>本硕贯通计划</w:t>
      </w:r>
      <w:r>
        <w:rPr>
          <w:rFonts w:hint="eastAsia"/>
          <w:color w:val="000000" w:themeColor="text1"/>
          <w:lang w:val="en-US" w:eastAsia="zh-CN"/>
        </w:rPr>
        <w:t>和学院本研贯通计划的</w:t>
      </w:r>
      <w:r>
        <w:rPr>
          <w:rFonts w:hint="eastAsia"/>
          <w:color w:val="000000" w:themeColor="text1"/>
        </w:rPr>
        <w:t>拟录取学生名单，并公布于学院网页，在全校范围内予以公示，公示期7天，全面听取师生反映，接受监督。具有（拟）录取资格的学生放弃资格时，需提供书面说明书。</w:t>
      </w:r>
    </w:p>
    <w:p>
      <w:pPr>
        <w:pStyle w:val="2"/>
        <w:ind w:firstLine="640"/>
        <w:rPr>
          <w:color w:val="000000" w:themeColor="text1"/>
        </w:rPr>
      </w:pPr>
      <w:r>
        <w:rPr>
          <w:rFonts w:hint="eastAsia"/>
          <w:color w:val="000000" w:themeColor="text1"/>
          <w:lang w:val="en-US" w:eastAsia="zh-CN"/>
        </w:rPr>
        <w:t>7</w:t>
      </w:r>
      <w:r>
        <w:rPr>
          <w:rFonts w:hint="eastAsia"/>
          <w:color w:val="000000" w:themeColor="text1"/>
        </w:rPr>
        <w:t>.本研贯通计划如未录取，学生回归原培养路径进行学习；学生如被正式录取，学院将名单上报学校，并与学生签订《培养协议》。</w:t>
      </w:r>
    </w:p>
    <w:p>
      <w:pPr>
        <w:ind w:firstLine="640"/>
        <w:rPr>
          <w:color w:val="000000" w:themeColor="text1"/>
        </w:rPr>
      </w:pPr>
      <w:r>
        <w:rPr>
          <w:rFonts w:hint="eastAsia"/>
          <w:color w:val="000000" w:themeColor="text1"/>
        </w:rPr>
        <w:t>学生如有异议，可于公示期内将意见以书面形式提交学院本研贯通计划工作小组。</w:t>
      </w:r>
    </w:p>
    <w:p>
      <w:pPr>
        <w:ind w:firstLine="640"/>
        <w:rPr>
          <w:color w:val="000000" w:themeColor="text1"/>
        </w:rPr>
      </w:pPr>
      <w:r>
        <w:rPr>
          <w:rFonts w:hint="eastAsia"/>
          <w:color w:val="000000" w:themeColor="text1"/>
        </w:rPr>
        <w:t>联系邮箱：yanghr@lzu.edu.cn</w:t>
      </w:r>
    </w:p>
    <w:p>
      <w:pPr>
        <w:ind w:firstLine="640"/>
        <w:rPr>
          <w:color w:val="000000" w:themeColor="text1"/>
        </w:rPr>
      </w:pPr>
      <w:r>
        <w:rPr>
          <w:rFonts w:hint="eastAsia"/>
          <w:color w:val="000000" w:themeColor="text1"/>
        </w:rPr>
        <w:t xml:space="preserve">联系电话：0931—8913710；8913711 </w:t>
      </w:r>
    </w:p>
    <w:p>
      <w:pPr>
        <w:ind w:firstLine="640"/>
        <w:rPr>
          <w:color w:val="000000" w:themeColor="text1"/>
        </w:rPr>
      </w:pPr>
      <w:r>
        <w:rPr>
          <w:rFonts w:hint="eastAsia"/>
          <w:color w:val="000000" w:themeColor="text1"/>
        </w:rPr>
        <w:t>监督电话：0931—5292267；5298691</w:t>
      </w:r>
    </w:p>
    <w:p>
      <w:pPr>
        <w:ind w:firstLine="640"/>
        <w:rPr>
          <w:color w:val="000000" w:themeColor="text1"/>
        </w:rPr>
      </w:pPr>
      <w:r>
        <w:rPr>
          <w:rFonts w:hint="eastAsia"/>
          <w:color w:val="000000" w:themeColor="text1"/>
        </w:rPr>
        <w:t>联系人：杨老师、吴老师</w:t>
      </w:r>
    </w:p>
    <w:p>
      <w:pPr>
        <w:pStyle w:val="2"/>
        <w:ind w:firstLine="640"/>
        <w:rPr>
          <w:color w:val="000000" w:themeColor="text1"/>
        </w:rPr>
      </w:pPr>
      <w:r>
        <w:rPr>
          <w:rFonts w:hint="eastAsia"/>
          <w:color w:val="000000" w:themeColor="text1"/>
        </w:rPr>
        <w:t>（四）考核成绩</w:t>
      </w:r>
    </w:p>
    <w:p>
      <w:pPr>
        <w:pStyle w:val="2"/>
        <w:ind w:firstLine="640"/>
        <w:rPr>
          <w:color w:val="000000" w:themeColor="text1"/>
        </w:rPr>
      </w:pPr>
      <w:r>
        <w:rPr>
          <w:rFonts w:hint="eastAsia"/>
          <w:color w:val="000000" w:themeColor="text1"/>
        </w:rPr>
        <w:t>考核成绩采取学业成绩和综合评价相结合的方式确定。</w:t>
      </w:r>
    </w:p>
    <w:p>
      <w:pPr>
        <w:pStyle w:val="2"/>
        <w:ind w:firstLine="640"/>
        <w:rPr>
          <w:color w:val="000000" w:themeColor="text1"/>
        </w:rPr>
      </w:pPr>
      <w:r>
        <w:rPr>
          <w:rFonts w:hint="eastAsia"/>
          <w:color w:val="000000" w:themeColor="text1"/>
        </w:rPr>
        <w:t>总成绩=学业成绩×60%+综合评价成绩×40%</w:t>
      </w:r>
    </w:p>
    <w:p>
      <w:pPr>
        <w:ind w:firstLine="640"/>
      </w:pPr>
      <w:r>
        <w:rPr>
          <w:rFonts w:hint="eastAsia"/>
        </w:rPr>
        <w:t>学业成绩=前两</w:t>
      </w:r>
      <w:r>
        <w:rPr>
          <w:rFonts w:hint="eastAsia"/>
          <w:lang w:val="en-US" w:eastAsia="zh-CN"/>
        </w:rPr>
        <w:t>学</w:t>
      </w:r>
      <w:r>
        <w:rPr>
          <w:rFonts w:hint="eastAsia"/>
        </w:rPr>
        <w:t>年的“必修+限选”课程的加权平均成绩（降级学生根据实际修读时间进行确定)</w:t>
      </w:r>
    </w:p>
    <w:p>
      <w:pPr>
        <w:widowControl w:val="0"/>
        <w:spacing w:line="264" w:lineRule="auto"/>
        <w:ind w:firstLine="643"/>
        <w:rPr>
          <w:rFonts w:ascii="黑体" w:hAnsi="黑体" w:eastAsia="黑体" w:cs="Times New Roman"/>
          <w:b/>
          <w:color w:val="000000" w:themeColor="text1"/>
          <w:szCs w:val="32"/>
        </w:rPr>
      </w:pPr>
      <w:r>
        <w:rPr>
          <w:rFonts w:hint="eastAsia" w:ascii="黑体" w:hAnsi="黑体" w:eastAsia="黑体" w:cs="Times New Roman"/>
          <w:b/>
          <w:color w:val="000000" w:themeColor="text1"/>
          <w:szCs w:val="32"/>
        </w:rPr>
        <w:t>四、培养方式</w:t>
      </w:r>
    </w:p>
    <w:p>
      <w:pPr>
        <w:pStyle w:val="2"/>
        <w:ind w:firstLine="640"/>
        <w:rPr>
          <w:color w:val="000000" w:themeColor="text1"/>
        </w:rPr>
      </w:pPr>
      <w:r>
        <w:rPr>
          <w:rFonts w:hint="eastAsia"/>
          <w:color w:val="000000" w:themeColor="text1"/>
        </w:rPr>
        <w:t>哲学社会学院本研贯通计划人才培养模式主要体现三个方面。</w:t>
      </w:r>
    </w:p>
    <w:p>
      <w:pPr>
        <w:pStyle w:val="2"/>
        <w:numPr>
          <w:ilvl w:val="0"/>
          <w:numId w:val="2"/>
        </w:numPr>
        <w:ind w:firstLine="640"/>
        <w:rPr>
          <w:color w:val="000000" w:themeColor="text1"/>
        </w:rPr>
      </w:pPr>
      <w:r>
        <w:rPr>
          <w:rFonts w:hint="eastAsia"/>
          <w:color w:val="000000" w:themeColor="text1"/>
        </w:rPr>
        <w:t>培养方案</w:t>
      </w:r>
    </w:p>
    <w:p>
      <w:pPr>
        <w:ind w:firstLine="640" w:firstLineChars="0"/>
        <w:rPr>
          <w:color w:val="000000" w:themeColor="text1"/>
        </w:rPr>
      </w:pPr>
      <w:r>
        <w:rPr>
          <w:rFonts w:hint="eastAsia"/>
          <w:color w:val="000000" w:themeColor="text1"/>
        </w:rPr>
        <w:t>学院特别制订《兰州大学哲学社会本研贯通人才培养方案》（附件</w:t>
      </w:r>
      <w:r>
        <w:rPr>
          <w:rFonts w:hint="eastAsia"/>
          <w:color w:val="000000" w:themeColor="text1"/>
          <w:lang w:val="en-US" w:eastAsia="zh-CN"/>
        </w:rPr>
        <w:t>2</w:t>
      </w:r>
      <w:r>
        <w:rPr>
          <w:rFonts w:hint="eastAsia"/>
          <w:color w:val="000000" w:themeColor="text1"/>
        </w:rPr>
        <w:t>），有机衔接本科生与研究生阶段的培养任务。本研贯通计划学生在本科阶段前两学年与非计划学生培养方式一致，从大三学年开始，在参与原培养任务的基础上，为其配备导师小组，开展针对性科研训练，并设置学年论文任务。从大四学年起，正式进入研究生课程学习阶段。</w:t>
      </w:r>
    </w:p>
    <w:p>
      <w:pPr>
        <w:pStyle w:val="2"/>
        <w:ind w:firstLine="640"/>
        <w:rPr>
          <w:color w:val="000000" w:themeColor="text1"/>
        </w:rPr>
      </w:pPr>
      <w:r>
        <w:rPr>
          <w:rFonts w:hint="eastAsia"/>
          <w:color w:val="000000" w:themeColor="text1"/>
        </w:rPr>
        <w:t>（二）导师配备</w:t>
      </w:r>
    </w:p>
    <w:p>
      <w:pPr>
        <w:pStyle w:val="2"/>
        <w:ind w:firstLine="640"/>
        <w:rPr>
          <w:rFonts w:hint="eastAsia" w:eastAsia="仿宋_GB2312"/>
          <w:color w:val="000000" w:themeColor="text1"/>
          <w:lang w:eastAsia="zh-CN"/>
        </w:rPr>
      </w:pPr>
      <w:r>
        <w:rPr>
          <w:rFonts w:hint="eastAsia"/>
          <w:color w:val="000000" w:themeColor="text1"/>
        </w:rPr>
        <w:t>学院成立导师小组，由学业导师和生活导师共同组成</w:t>
      </w:r>
      <w:r>
        <w:rPr>
          <w:rFonts w:hint="eastAsia"/>
          <w:color w:val="000000" w:themeColor="text1"/>
          <w:lang w:eastAsia="zh-CN"/>
        </w:rPr>
        <w:t>。</w:t>
      </w:r>
    </w:p>
    <w:p>
      <w:pPr>
        <w:pStyle w:val="2"/>
        <w:ind w:firstLine="640"/>
        <w:rPr>
          <w:color w:val="000000" w:themeColor="text1"/>
        </w:rPr>
      </w:pPr>
      <w:r>
        <w:rPr>
          <w:rFonts w:hint="eastAsia"/>
          <w:color w:val="000000" w:themeColor="text1"/>
        </w:rPr>
        <w:t>1.学业导师</w:t>
      </w:r>
    </w:p>
    <w:p>
      <w:pPr>
        <w:pStyle w:val="2"/>
        <w:ind w:firstLine="640"/>
        <w:rPr>
          <w:color w:val="000000" w:themeColor="text1"/>
        </w:rPr>
      </w:pPr>
      <w:r>
        <w:rPr>
          <w:rFonts w:hint="eastAsia"/>
          <w:color w:val="000000" w:themeColor="text1"/>
        </w:rPr>
        <w:t>按照</w:t>
      </w:r>
      <w:r>
        <w:rPr>
          <w:rFonts w:hint="eastAsia"/>
          <w:color w:val="000000" w:themeColor="text1"/>
          <w:lang w:eastAsia="zh-CN"/>
        </w:rPr>
        <w:t>“</w:t>
      </w:r>
      <w:r>
        <w:rPr>
          <w:color w:val="000000" w:themeColor="text1"/>
        </w:rPr>
        <w:t>导师</w:t>
      </w:r>
      <w:r>
        <w:rPr>
          <w:rFonts w:hint="eastAsia"/>
          <w:color w:val="000000" w:themeColor="text1"/>
        </w:rPr>
        <w:t>小组</w:t>
      </w:r>
      <w:r>
        <w:rPr>
          <w:color w:val="000000" w:themeColor="text1"/>
        </w:rPr>
        <w:t>+学生小组</w:t>
      </w:r>
      <w:r>
        <w:rPr>
          <w:rFonts w:hint="eastAsia"/>
          <w:color w:val="000000" w:themeColor="text1"/>
          <w:lang w:eastAsia="zh-CN"/>
        </w:rPr>
        <w:t>”</w:t>
      </w:r>
      <w:r>
        <w:rPr>
          <w:color w:val="000000" w:themeColor="text1"/>
        </w:rPr>
        <w:t>模式</w:t>
      </w:r>
      <w:r>
        <w:rPr>
          <w:rFonts w:hint="eastAsia"/>
          <w:color w:val="000000" w:themeColor="text1"/>
        </w:rPr>
        <w:t>，进行专业化学术指导。</w:t>
      </w:r>
      <w:r>
        <w:rPr>
          <w:rFonts w:hint="eastAsia"/>
          <w:color w:val="000000" w:themeColor="text1"/>
          <w:lang w:val="en-US" w:eastAsia="zh-CN"/>
        </w:rPr>
        <w:t>学生首先选定一位导师，并与导师共同协商确定导师小组名单。</w:t>
      </w:r>
      <w:r>
        <w:rPr>
          <w:rFonts w:hint="eastAsia"/>
          <w:color w:val="000000" w:themeColor="text1"/>
        </w:rPr>
        <w:t>导师小组</w:t>
      </w:r>
      <w:r>
        <w:rPr>
          <w:rFonts w:hint="eastAsia"/>
          <w:color w:val="000000" w:themeColor="text1"/>
          <w:lang w:val="en-US" w:eastAsia="zh-CN"/>
        </w:rPr>
        <w:t>对</w:t>
      </w:r>
      <w:r>
        <w:rPr>
          <w:rFonts w:hint="eastAsia"/>
          <w:color w:val="000000" w:themeColor="text1"/>
        </w:rPr>
        <w:t>学生在专业学习、经典阅读、论文撰写等方面</w:t>
      </w:r>
      <w:r>
        <w:rPr>
          <w:rFonts w:hint="eastAsia"/>
          <w:color w:val="000000" w:themeColor="text1"/>
          <w:lang w:val="en-US" w:eastAsia="zh-CN"/>
        </w:rPr>
        <w:t>进行</w:t>
      </w:r>
      <w:r>
        <w:rPr>
          <w:rFonts w:hint="eastAsia"/>
          <w:color w:val="000000" w:themeColor="text1"/>
        </w:rPr>
        <w:t>切实有效的指导，丰富学生的知识结构，接触学科的学术前沿。</w:t>
      </w:r>
      <w:r>
        <w:rPr>
          <w:rFonts w:hint="eastAsia"/>
          <w:color w:val="000000" w:themeColor="text1"/>
          <w:lang w:val="en-US" w:eastAsia="zh-CN"/>
        </w:rPr>
        <w:t>导师</w:t>
      </w:r>
      <w:r>
        <w:rPr>
          <w:rFonts w:hint="eastAsia"/>
          <w:color w:val="000000" w:themeColor="text1"/>
        </w:rPr>
        <w:t>每学期对学生学习、科研学术训练等情况进行综合考核，给出考核鉴定意见并报学院备存。</w:t>
      </w:r>
    </w:p>
    <w:p>
      <w:pPr>
        <w:pStyle w:val="2"/>
        <w:ind w:firstLine="640"/>
        <w:rPr>
          <w:color w:val="000000" w:themeColor="text1"/>
        </w:rPr>
      </w:pPr>
      <w:r>
        <w:rPr>
          <w:rFonts w:hint="eastAsia"/>
          <w:color w:val="000000" w:themeColor="text1"/>
        </w:rPr>
        <w:t>2.</w:t>
      </w:r>
      <w:r>
        <w:rPr>
          <w:color w:val="000000" w:themeColor="text1"/>
        </w:rPr>
        <w:t>生活</w:t>
      </w:r>
      <w:r>
        <w:rPr>
          <w:rFonts w:hint="eastAsia"/>
          <w:color w:val="000000" w:themeColor="text1"/>
        </w:rPr>
        <w:t>导师</w:t>
      </w:r>
    </w:p>
    <w:p>
      <w:pPr>
        <w:pStyle w:val="2"/>
        <w:ind w:firstLine="640"/>
        <w:rPr>
          <w:color w:val="000000" w:themeColor="text1"/>
        </w:rPr>
      </w:pPr>
      <w:r>
        <w:rPr>
          <w:color w:val="000000" w:themeColor="text1"/>
        </w:rPr>
        <w:t>生活导师职责由哲学社会学院辅导员、心理咨询师及兰州大学“三走进”相关人员担任，主要与学生建立较为紧密的思想与生活联系，通过日常工作，培养学生的理想信念、道德情操、国际视野、家国情怀、服务社会、责任担当、法制意识、安全观念和健康体魄等群体素质。</w:t>
      </w:r>
    </w:p>
    <w:p>
      <w:pPr>
        <w:ind w:firstLine="640"/>
        <w:rPr>
          <w:color w:val="000000" w:themeColor="text1"/>
        </w:rPr>
      </w:pPr>
      <w:r>
        <w:rPr>
          <w:rFonts w:hint="eastAsia"/>
          <w:color w:val="000000" w:themeColor="text1"/>
        </w:rPr>
        <w:t>（三）</w:t>
      </w:r>
      <w:r>
        <w:rPr>
          <w:color w:val="000000" w:themeColor="text1"/>
        </w:rPr>
        <w:t>规范精准化训练</w:t>
      </w:r>
    </w:p>
    <w:p>
      <w:pPr>
        <w:ind w:firstLine="640"/>
        <w:rPr>
          <w:color w:val="000000" w:themeColor="text1"/>
        </w:rPr>
      </w:pPr>
      <w:r>
        <w:rPr>
          <w:color w:val="000000" w:themeColor="text1"/>
        </w:rPr>
        <w:t>导师</w:t>
      </w:r>
      <w:r>
        <w:rPr>
          <w:rFonts w:hint="eastAsia"/>
          <w:color w:val="000000" w:themeColor="text1"/>
        </w:rPr>
        <w:t>小组</w:t>
      </w:r>
      <w:r>
        <w:rPr>
          <w:color w:val="000000" w:themeColor="text1"/>
        </w:rPr>
        <w:t>负责指导学生小组举办读书会、seminar等学术活动，要求学生参加，提升学生的批判性思维能力、知识整合能力、相互协作能力。重点指导学生进行科研训练，包括相关文献的阅读、问题意识的培养、学术观点的提炼、具体论证的优化，使学生熟练掌握科研流程及学术论文的写作。</w:t>
      </w:r>
    </w:p>
    <w:p>
      <w:pPr>
        <w:widowControl w:val="0"/>
        <w:spacing w:line="264" w:lineRule="auto"/>
        <w:ind w:firstLine="643"/>
        <w:rPr>
          <w:rFonts w:ascii="黑体" w:hAnsi="黑体" w:eastAsia="黑体" w:cs="Times New Roman"/>
          <w:b/>
          <w:color w:val="000000" w:themeColor="text1"/>
          <w:szCs w:val="32"/>
        </w:rPr>
      </w:pPr>
      <w:r>
        <w:rPr>
          <w:rFonts w:hint="eastAsia" w:ascii="黑体" w:hAnsi="黑体" w:eastAsia="黑体" w:cs="Times New Roman"/>
          <w:b/>
          <w:color w:val="000000" w:themeColor="text1"/>
          <w:szCs w:val="32"/>
        </w:rPr>
        <w:t>五、管理模式</w:t>
      </w:r>
    </w:p>
    <w:p>
      <w:pPr>
        <w:pStyle w:val="2"/>
        <w:ind w:firstLine="640"/>
        <w:rPr>
          <w:color w:val="000000" w:themeColor="text1"/>
        </w:rPr>
      </w:pPr>
      <w:r>
        <w:rPr>
          <w:rFonts w:hint="eastAsia"/>
          <w:color w:val="000000" w:themeColor="text1"/>
        </w:rPr>
        <w:t>（一）学籍管理</w:t>
      </w:r>
    </w:p>
    <w:p>
      <w:pPr>
        <w:ind w:firstLine="640"/>
        <w:rPr>
          <w:color w:val="000000" w:themeColor="text1"/>
        </w:rPr>
      </w:pPr>
      <w:r>
        <w:rPr>
          <w:rFonts w:hint="eastAsia"/>
          <w:color w:val="000000" w:themeColor="text1"/>
        </w:rPr>
        <w:t>依照《兰州大学本研贯通人才培养计划实施办法》，并结合学院本科生、硕士生学籍管理办法进行统一管理。前四年为本科生学籍，授予学士学位；后两年为研究生学籍，授予硕士学位。</w:t>
      </w:r>
      <w:bookmarkStart w:id="0" w:name="_GoBack"/>
      <w:bookmarkEnd w:id="0"/>
    </w:p>
    <w:p>
      <w:pPr>
        <w:pStyle w:val="2"/>
        <w:ind w:firstLine="640"/>
        <w:rPr>
          <w:color w:val="000000" w:themeColor="text1"/>
        </w:rPr>
      </w:pPr>
      <w:r>
        <w:rPr>
          <w:rFonts w:hint="eastAsia"/>
          <w:color w:val="000000" w:themeColor="text1"/>
        </w:rPr>
        <w:t>凡参与本硕贯通培养计划的学生，在本科学籍期间享受与研究生同等的学习与研究资源；本科学籍最后一年享受我校硕士一等奖助学金待遇；获得研究生学籍后，纳入研究生奖助学金管理体系进行管理。</w:t>
      </w:r>
    </w:p>
    <w:p>
      <w:pPr>
        <w:ind w:firstLine="640"/>
        <w:rPr>
          <w:color w:val="000000" w:themeColor="text1"/>
        </w:rPr>
      </w:pPr>
      <w:r>
        <w:rPr>
          <w:rFonts w:hint="eastAsia"/>
          <w:color w:val="000000" w:themeColor="text1"/>
        </w:rPr>
        <w:t>（二）综合考察</w:t>
      </w:r>
    </w:p>
    <w:p>
      <w:pPr>
        <w:ind w:firstLine="640"/>
        <w:rPr>
          <w:color w:val="000000" w:themeColor="text1"/>
        </w:rPr>
      </w:pPr>
      <w:r>
        <w:rPr>
          <w:rFonts w:hint="eastAsia"/>
          <w:color w:val="000000" w:themeColor="text1"/>
        </w:rPr>
        <w:t>学院对本研贯通计划学生实施综合考察，作为审核学生在大三学年培养成效的依据。考察包含两个部分：一是导师小组评语，二是学年论文的鉴定。</w:t>
      </w:r>
    </w:p>
    <w:p>
      <w:pPr>
        <w:ind w:firstLine="640"/>
        <w:rPr>
          <w:color w:val="000000" w:themeColor="text1"/>
        </w:rPr>
      </w:pPr>
      <w:r>
        <w:rPr>
          <w:rFonts w:hint="eastAsia"/>
          <w:color w:val="000000" w:themeColor="text1"/>
        </w:rPr>
        <w:t>导师小组评语主要涉及到对学生学习态度、科研潜力、道德品质等方面的综合评价。评语不涉及等级，是学生是否被推荐继续攻读研究生的准入标准。导师小组评语应有两名以上教师具体说明。</w:t>
      </w:r>
    </w:p>
    <w:p>
      <w:pPr>
        <w:ind w:firstLine="640"/>
        <w:rPr>
          <w:color w:val="000000" w:themeColor="text1"/>
        </w:rPr>
      </w:pPr>
      <w:r>
        <w:rPr>
          <w:rFonts w:hint="eastAsia"/>
          <w:color w:val="000000" w:themeColor="text1"/>
        </w:rPr>
        <w:t>学年论文必须在导师小组的指导下完成，由教师根据自己的研究兴趣和方向给定几个论文选题供学生选择，学生根据自己的爱好与兴趣选择相关选题进行写作。</w:t>
      </w:r>
    </w:p>
    <w:p>
      <w:pPr>
        <w:ind w:firstLine="640"/>
        <w:rPr>
          <w:color w:val="000000" w:themeColor="text1"/>
        </w:rPr>
      </w:pPr>
      <w:r>
        <w:rPr>
          <w:rFonts w:hint="eastAsia"/>
          <w:color w:val="000000" w:themeColor="text1"/>
        </w:rPr>
        <w:t>选题应立足于专业的理论或者现实问题，对相关学术文献有较为系统的掌握。要求对所研究的课题有新见解或新成果，并对本学科发展或社会发展有一定意义。学年论文既是专业学习水平和素养的展示，也是对专业思维和写作能力的综合训练。选题要有“问题意识”，要能够培养学生运用所学知识发现问题、分析问题和解决问题的能力。同时，论文选题要严守意识形态底线，导师小组要严格把关。</w:t>
      </w:r>
    </w:p>
    <w:p>
      <w:pPr>
        <w:ind w:firstLine="640"/>
        <w:rPr>
          <w:color w:val="000000" w:themeColor="text1"/>
        </w:rPr>
      </w:pPr>
      <w:r>
        <w:rPr>
          <w:rFonts w:hint="eastAsia"/>
          <w:color w:val="000000" w:themeColor="text1"/>
        </w:rPr>
        <w:t>学年论文必须以专业理论问题或社会现实问题为导向，以相关学术文献为基础，主题明确，论证清楚。问题的提出、分析和论证,要有抽象思维的介人，透过现象抓本质，寻找规律。要做到观点新颖，思路清晰，有理论的发挥，而不止是材料堆彻。文字表达要具备准确性、严谨性和逻辑性，结构合理均衡，具有条理性和层次性。论文格式（图表、注释、参考文献等）要符合兰州大学毕业论文（设计）指导手册的学术规范要求。</w:t>
      </w:r>
    </w:p>
    <w:p>
      <w:pPr>
        <w:ind w:firstLine="640"/>
        <w:rPr>
          <w:color w:val="000000" w:themeColor="text1"/>
        </w:rPr>
      </w:pPr>
      <w:r>
        <w:rPr>
          <w:rFonts w:hint="eastAsia"/>
          <w:color w:val="000000" w:themeColor="text1"/>
        </w:rPr>
        <w:t>（三）退出机制</w:t>
      </w:r>
    </w:p>
    <w:p>
      <w:pPr>
        <w:ind w:firstLine="640"/>
        <w:rPr>
          <w:color w:val="000000" w:themeColor="text1"/>
        </w:rPr>
      </w:pPr>
      <w:r>
        <w:rPr>
          <w:rFonts w:hint="eastAsia"/>
          <w:color w:val="000000" w:themeColor="text1"/>
        </w:rPr>
        <w:t>本科大四学年初，学生参加哲学社会学院推荐免试攻读研究生资格考核，实施考核分流。通过考核者可获得兰州大学推荐免试攻读研究生资格和硕士研究生拟录取资格，继续完成本硕贯通计划的学业。未通过考核或放弃本硕贯通计划资格的学生，退出本硕贯通计划，在原专业继续完成本科学业，所修课程及学分由学院认定和转换。</w:t>
      </w:r>
    </w:p>
    <w:p>
      <w:pPr>
        <w:ind w:firstLine="640"/>
        <w:rPr>
          <w:color w:val="000000" w:themeColor="text1"/>
        </w:rPr>
      </w:pPr>
      <w:r>
        <w:rPr>
          <w:rFonts w:hint="eastAsia"/>
          <w:color w:val="000000" w:themeColor="text1"/>
        </w:rPr>
        <w:t>获得推荐免试攻读研究生资格的学生放弃本研贯通计划资格的，取消推荐免试攻读研究生资格。</w:t>
      </w:r>
    </w:p>
    <w:p>
      <w:pPr>
        <w:ind w:firstLine="640"/>
        <w:rPr>
          <w:color w:val="000000" w:themeColor="text1"/>
        </w:rPr>
      </w:pPr>
      <w:r>
        <w:rPr>
          <w:rFonts w:hint="eastAsia"/>
          <w:color w:val="000000" w:themeColor="text1"/>
        </w:rPr>
        <w:t>学生出现以下情形之一者，退出本研贯通计划。</w:t>
      </w:r>
    </w:p>
    <w:p>
      <w:pPr>
        <w:ind w:firstLine="640"/>
        <w:rPr>
          <w:color w:val="000000" w:themeColor="text1"/>
        </w:rPr>
      </w:pPr>
      <w:r>
        <w:rPr>
          <w:rFonts w:hint="eastAsia"/>
          <w:color w:val="000000" w:themeColor="text1"/>
        </w:rPr>
        <w:t>A.因违纪受严重警告及以上处分的；</w:t>
      </w:r>
    </w:p>
    <w:p>
      <w:pPr>
        <w:ind w:firstLine="640"/>
        <w:rPr>
          <w:color w:val="000000" w:themeColor="text1"/>
        </w:rPr>
      </w:pPr>
      <w:r>
        <w:rPr>
          <w:rFonts w:hint="eastAsia"/>
          <w:color w:val="000000" w:themeColor="text1"/>
        </w:rPr>
        <w:t>B.认定构成学术不端行为的；</w:t>
      </w:r>
    </w:p>
    <w:p>
      <w:pPr>
        <w:ind w:firstLine="640"/>
        <w:rPr>
          <w:color w:val="000000" w:themeColor="text1"/>
        </w:rPr>
      </w:pPr>
      <w:r>
        <w:rPr>
          <w:rFonts w:hint="eastAsia"/>
          <w:color w:val="000000" w:themeColor="text1"/>
        </w:rPr>
        <w:t>C.学生本人自愿退出的；</w:t>
      </w:r>
    </w:p>
    <w:p>
      <w:pPr>
        <w:ind w:firstLine="640"/>
        <w:rPr>
          <w:color w:val="000000" w:themeColor="text1"/>
        </w:rPr>
      </w:pPr>
      <w:r>
        <w:rPr>
          <w:rFonts w:hint="eastAsia"/>
          <w:color w:val="000000" w:themeColor="text1"/>
        </w:rPr>
        <w:t>D.导师小组及教学指导委员会认定不适合继续按本研贯通计划培养的；</w:t>
      </w:r>
    </w:p>
    <w:p>
      <w:pPr>
        <w:ind w:firstLine="640"/>
        <w:rPr>
          <w:color w:val="000000" w:themeColor="text1"/>
        </w:rPr>
      </w:pPr>
      <w:r>
        <w:rPr>
          <w:rFonts w:hint="eastAsia"/>
          <w:color w:val="000000" w:themeColor="text1"/>
        </w:rPr>
        <w:t>E.因其他原因不适合继续按本研贯通计划培养的。</w:t>
      </w:r>
    </w:p>
    <w:p>
      <w:pPr>
        <w:pStyle w:val="2"/>
        <w:ind w:firstLine="640"/>
        <w:rPr>
          <w:color w:val="000000" w:themeColor="text1"/>
        </w:rPr>
      </w:pPr>
      <w:r>
        <w:rPr>
          <w:rFonts w:hint="eastAsia"/>
          <w:color w:val="000000" w:themeColor="text1"/>
        </w:rPr>
        <w:t>（四）毕业与学位</w:t>
      </w:r>
    </w:p>
    <w:p>
      <w:pPr>
        <w:ind w:firstLine="640"/>
        <w:rPr>
          <w:color w:val="000000" w:themeColor="text1"/>
        </w:rPr>
      </w:pPr>
      <w:r>
        <w:rPr>
          <w:rFonts w:hint="eastAsia"/>
          <w:color w:val="000000" w:themeColor="text1"/>
        </w:rPr>
        <w:t>本科学籍结束时，学生达到本硕贯通计划培养方案中本科阶段的学业要求，完成相应培养环节，获得规定的学分，符合毕业及学位授予条件者，经学校审核，准予毕业并颁发毕业证书及学位证书。</w:t>
      </w:r>
    </w:p>
    <w:p>
      <w:pPr>
        <w:ind w:firstLine="640"/>
        <w:rPr>
          <w:color w:val="000000" w:themeColor="text1"/>
        </w:rPr>
      </w:pPr>
      <w:r>
        <w:rPr>
          <w:rFonts w:hint="eastAsia"/>
          <w:color w:val="000000" w:themeColor="text1"/>
        </w:rPr>
        <w:t>完成本硕贯通计划培养方案的学业要求，达到毕业和学位授予条件的研究生即可毕业，获得相应学位。学校对其在校学习最低年限不设要求。</w:t>
      </w:r>
    </w:p>
    <w:p>
      <w:pPr>
        <w:ind w:firstLine="640"/>
        <w:rPr>
          <w:color w:val="000000" w:themeColor="text1"/>
        </w:rPr>
      </w:pPr>
      <w:r>
        <w:rPr>
          <w:rFonts w:hint="eastAsia"/>
          <w:color w:val="000000" w:themeColor="text1"/>
        </w:rPr>
        <w:t>未获得免试推荐研究生资格的学生以普通招考方式获得攻读兰州大学研究生资格后，可向研究生院申请本研贯通计划培养阶段所修相关课程的学分认定或课程免修。</w:t>
      </w:r>
    </w:p>
    <w:p>
      <w:pPr>
        <w:widowControl w:val="0"/>
        <w:spacing w:line="264" w:lineRule="auto"/>
        <w:ind w:firstLine="643"/>
        <w:rPr>
          <w:rFonts w:ascii="黑体" w:hAnsi="黑体" w:eastAsia="黑体" w:cs="Times New Roman"/>
          <w:b/>
          <w:color w:val="000000" w:themeColor="text1"/>
          <w:szCs w:val="32"/>
        </w:rPr>
      </w:pPr>
      <w:r>
        <w:rPr>
          <w:rFonts w:hint="eastAsia" w:ascii="黑体" w:hAnsi="黑体" w:eastAsia="黑体" w:cs="Times New Roman"/>
          <w:b/>
          <w:color w:val="000000" w:themeColor="text1"/>
          <w:szCs w:val="32"/>
        </w:rPr>
        <w:t>六、配套保障</w:t>
      </w:r>
    </w:p>
    <w:p>
      <w:pPr>
        <w:pStyle w:val="2"/>
        <w:spacing w:line="264" w:lineRule="auto"/>
        <w:ind w:firstLine="640"/>
        <w:rPr>
          <w:rFonts w:ascii="仿宋_GB2312" w:hAnsi="仿宋"/>
          <w:color w:val="000000" w:themeColor="text1"/>
          <w:szCs w:val="32"/>
        </w:rPr>
      </w:pPr>
      <w:r>
        <w:rPr>
          <w:rFonts w:hint="eastAsia" w:ascii="仿宋_GB2312" w:hAnsi="仿宋"/>
          <w:color w:val="000000" w:themeColor="text1"/>
          <w:szCs w:val="32"/>
        </w:rPr>
        <w:t>（一）成立学院本研贯通计划教学指导委员会</w:t>
      </w:r>
    </w:p>
    <w:p>
      <w:pPr>
        <w:pStyle w:val="2"/>
        <w:spacing w:line="264" w:lineRule="auto"/>
        <w:ind w:firstLine="640"/>
        <w:rPr>
          <w:rFonts w:ascii="仿宋_GB2312" w:hAnsi="仿宋"/>
          <w:color w:val="000000" w:themeColor="text1"/>
          <w:szCs w:val="32"/>
        </w:rPr>
      </w:pPr>
      <w:r>
        <w:rPr>
          <w:rFonts w:hint="eastAsia" w:ascii="仿宋_GB2312" w:hAnsi="仿宋"/>
          <w:color w:val="000000" w:themeColor="text1"/>
          <w:szCs w:val="32"/>
        </w:rPr>
        <w:t>教学指导委员会由知名教授、教学名师、教学顾问和骨干教师组成，对本研贯通人才培养工作的指导思想、基本原则、重要改革方案等提出意见和建议，对人才选拔、教学规划、教学改革及重要的教学工作发挥咨询、审议、审定、评选及指导作用。</w:t>
      </w:r>
    </w:p>
    <w:p>
      <w:pPr>
        <w:pStyle w:val="2"/>
        <w:numPr>
          <w:ilvl w:val="0"/>
          <w:numId w:val="3"/>
        </w:numPr>
        <w:spacing w:line="264" w:lineRule="auto"/>
        <w:ind w:firstLine="640"/>
        <w:rPr>
          <w:rFonts w:ascii="仿宋_GB2312" w:hAnsi="仿宋"/>
          <w:color w:val="000000" w:themeColor="text1"/>
          <w:szCs w:val="32"/>
        </w:rPr>
      </w:pPr>
      <w:r>
        <w:rPr>
          <w:rFonts w:hint="eastAsia" w:ascii="仿宋_GB2312" w:hAnsi="仿宋"/>
          <w:color w:val="000000" w:themeColor="text1"/>
          <w:szCs w:val="32"/>
        </w:rPr>
        <w:t>成立学院本研贯通计划导师工作委员会</w:t>
      </w:r>
    </w:p>
    <w:p>
      <w:pPr>
        <w:pStyle w:val="2"/>
        <w:spacing w:line="264" w:lineRule="auto"/>
        <w:ind w:firstLine="640"/>
        <w:rPr>
          <w:rFonts w:ascii="仿宋_GB2312" w:hAnsi="仿宋"/>
          <w:color w:val="000000" w:themeColor="text1"/>
          <w:szCs w:val="32"/>
        </w:rPr>
      </w:pPr>
      <w:r>
        <w:rPr>
          <w:rFonts w:hint="eastAsia" w:ascii="仿宋_GB2312" w:hAnsi="仿宋"/>
          <w:color w:val="000000" w:themeColor="text1"/>
          <w:szCs w:val="32"/>
        </w:rPr>
        <w:t>由相关学科资深教授和部分有教学经验、对学生有指导经验的中青年教师组成导师库。导师工作委员会从导师库中遴选产生，主要对导师的日常指导工作进行宏观设计、明确职责、质量监督与协调研讨。导师工作委员会每学期初和学期末至少召集一次工作研讨会，交流指导工作经验，关注学生的科研训练情况和毕业论文等实践教学环节，研讨学生在其他方面存在的思想倾向，并提出积极建议。</w:t>
      </w:r>
    </w:p>
    <w:p>
      <w:pPr>
        <w:pStyle w:val="2"/>
        <w:spacing w:line="264" w:lineRule="auto"/>
        <w:ind w:firstLine="640"/>
        <w:rPr>
          <w:rFonts w:ascii="仿宋_GB2312" w:hAnsi="仿宋"/>
          <w:color w:val="000000" w:themeColor="text1"/>
          <w:szCs w:val="32"/>
        </w:rPr>
      </w:pPr>
      <w:r>
        <w:rPr>
          <w:rFonts w:hint="eastAsia" w:ascii="仿宋_GB2312" w:hAnsi="仿宋"/>
          <w:color w:val="000000" w:themeColor="text1"/>
          <w:szCs w:val="32"/>
        </w:rPr>
        <w:t>（三）成立学院本研贯通计划学生学习委员会</w:t>
      </w:r>
    </w:p>
    <w:p>
      <w:pPr>
        <w:pStyle w:val="2"/>
        <w:spacing w:line="264" w:lineRule="auto"/>
        <w:ind w:firstLine="640"/>
        <w:rPr>
          <w:rFonts w:ascii="仿宋_GB2312" w:hAnsi="仿宋"/>
          <w:color w:val="000000" w:themeColor="text1"/>
          <w:szCs w:val="32"/>
        </w:rPr>
      </w:pPr>
      <w:r>
        <w:rPr>
          <w:rFonts w:hint="eastAsia" w:ascii="仿宋_GB2312" w:hAnsi="仿宋"/>
          <w:color w:val="000000" w:themeColor="text1"/>
          <w:szCs w:val="32"/>
        </w:rPr>
        <w:t>学习委员会由导师小组组织协调，目的在于引导学生进行研究性学习、主动实践和科研创新，促进学生自主学习、自主设计和自主管理。学习委员会成员每学期通过民主推荐产生，人数5-7人，具有代表性。学习委员会要有明确分工和职责，通过协同合作，营造良好的学习氛围。通过自主设计，提出富有创新性和想象力的学术问题，分组准备，举办学术沙龙，相互激励志气、激发兴趣、启发思考，助推学生之间的交流与联系，增进学生之间的学术友谊，促进不同学科之间的交叉与融合，培育不同团队之间、团队内部的合作精神，以及学习学术活动的组织、协调和领导能力。</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92268"/>
    </w:sdtPr>
    <w:sdtContent>
      <w:p>
        <w:pPr>
          <w:pStyle w:val="7"/>
          <w:ind w:firstLine="360"/>
          <w:jc w:val="center"/>
        </w:pPr>
        <w:r>
          <w:fldChar w:fldCharType="begin"/>
        </w:r>
        <w:r>
          <w:instrText xml:space="preserve">PAGE   \* MERGEFORMAT</w:instrText>
        </w:r>
        <w:r>
          <w:fldChar w:fldCharType="separate"/>
        </w:r>
        <w:r>
          <w:rPr>
            <w:lang w:val="zh-CN"/>
          </w:rPr>
          <w:t>6</w:t>
        </w:r>
        <w: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08C48"/>
    <w:multiLevelType w:val="singleLevel"/>
    <w:tmpl w:val="2B808C48"/>
    <w:lvl w:ilvl="0" w:tentative="0">
      <w:start w:val="1"/>
      <w:numFmt w:val="chineseCounting"/>
      <w:suff w:val="nothing"/>
      <w:lvlText w:val="（%1）"/>
      <w:lvlJc w:val="left"/>
      <w:rPr>
        <w:rFonts w:hint="eastAsia"/>
      </w:rPr>
    </w:lvl>
  </w:abstractNum>
  <w:abstractNum w:abstractNumId="1">
    <w:nsid w:val="341847B3"/>
    <w:multiLevelType w:val="singleLevel"/>
    <w:tmpl w:val="341847B3"/>
    <w:lvl w:ilvl="0" w:tentative="0">
      <w:start w:val="1"/>
      <w:numFmt w:val="chineseCounting"/>
      <w:suff w:val="nothing"/>
      <w:lvlText w:val="%1、"/>
      <w:lvlJc w:val="left"/>
      <w:rPr>
        <w:rFonts w:hint="eastAsia"/>
      </w:rPr>
    </w:lvl>
  </w:abstractNum>
  <w:abstractNum w:abstractNumId="2">
    <w:nsid w:val="640DCD48"/>
    <w:multiLevelType w:val="singleLevel"/>
    <w:tmpl w:val="640DCD4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xNTAwZDA4ZDgyZjZiZDg1MTFmMjZiZjRmMTY5YTQifQ=="/>
  </w:docVars>
  <w:rsids>
    <w:rsidRoot w:val="042E4240"/>
    <w:rsid w:val="00017DE6"/>
    <w:rsid w:val="00067DE4"/>
    <w:rsid w:val="00070400"/>
    <w:rsid w:val="00070838"/>
    <w:rsid w:val="0008562F"/>
    <w:rsid w:val="00086DCB"/>
    <w:rsid w:val="000B779B"/>
    <w:rsid w:val="000F2925"/>
    <w:rsid w:val="000F4794"/>
    <w:rsid w:val="001103A6"/>
    <w:rsid w:val="00115D0F"/>
    <w:rsid w:val="00133235"/>
    <w:rsid w:val="001412E0"/>
    <w:rsid w:val="0016537E"/>
    <w:rsid w:val="001671A3"/>
    <w:rsid w:val="001869D9"/>
    <w:rsid w:val="001E1C55"/>
    <w:rsid w:val="001E5DEE"/>
    <w:rsid w:val="001F3AF3"/>
    <w:rsid w:val="002031B2"/>
    <w:rsid w:val="002458E6"/>
    <w:rsid w:val="00250D6B"/>
    <w:rsid w:val="002940F7"/>
    <w:rsid w:val="00294AA5"/>
    <w:rsid w:val="00297367"/>
    <w:rsid w:val="002C299D"/>
    <w:rsid w:val="002F4DC5"/>
    <w:rsid w:val="002F64FF"/>
    <w:rsid w:val="0031269F"/>
    <w:rsid w:val="00334575"/>
    <w:rsid w:val="00374ABB"/>
    <w:rsid w:val="00390AF9"/>
    <w:rsid w:val="003A5CB6"/>
    <w:rsid w:val="003E5918"/>
    <w:rsid w:val="00400E01"/>
    <w:rsid w:val="00445FCE"/>
    <w:rsid w:val="004B5AE2"/>
    <w:rsid w:val="0055202D"/>
    <w:rsid w:val="0055526C"/>
    <w:rsid w:val="00576B8A"/>
    <w:rsid w:val="005A3D65"/>
    <w:rsid w:val="005A5507"/>
    <w:rsid w:val="005C29BA"/>
    <w:rsid w:val="00651AD2"/>
    <w:rsid w:val="00684006"/>
    <w:rsid w:val="006951BA"/>
    <w:rsid w:val="00695DC9"/>
    <w:rsid w:val="006D0493"/>
    <w:rsid w:val="007069B3"/>
    <w:rsid w:val="0071687C"/>
    <w:rsid w:val="00750AEB"/>
    <w:rsid w:val="007516F2"/>
    <w:rsid w:val="007551F3"/>
    <w:rsid w:val="0077494E"/>
    <w:rsid w:val="00793479"/>
    <w:rsid w:val="007A2C19"/>
    <w:rsid w:val="007B5006"/>
    <w:rsid w:val="0085794D"/>
    <w:rsid w:val="008919B4"/>
    <w:rsid w:val="00912DE9"/>
    <w:rsid w:val="0091798C"/>
    <w:rsid w:val="00944A95"/>
    <w:rsid w:val="0099322A"/>
    <w:rsid w:val="009C792C"/>
    <w:rsid w:val="009E4C8F"/>
    <w:rsid w:val="00A00C65"/>
    <w:rsid w:val="00A32E69"/>
    <w:rsid w:val="00A90779"/>
    <w:rsid w:val="00AA1076"/>
    <w:rsid w:val="00AB0FB9"/>
    <w:rsid w:val="00AE6378"/>
    <w:rsid w:val="00B541D0"/>
    <w:rsid w:val="00B62156"/>
    <w:rsid w:val="00B76CCD"/>
    <w:rsid w:val="00BD7866"/>
    <w:rsid w:val="00C41A9A"/>
    <w:rsid w:val="00C45EE5"/>
    <w:rsid w:val="00C52EC7"/>
    <w:rsid w:val="00C70A59"/>
    <w:rsid w:val="00C75B90"/>
    <w:rsid w:val="00C970F5"/>
    <w:rsid w:val="00CB102D"/>
    <w:rsid w:val="00CD3327"/>
    <w:rsid w:val="00D55700"/>
    <w:rsid w:val="00D615B9"/>
    <w:rsid w:val="00DA06CC"/>
    <w:rsid w:val="00DE3721"/>
    <w:rsid w:val="00DF4D5C"/>
    <w:rsid w:val="00E60D57"/>
    <w:rsid w:val="00EE2E87"/>
    <w:rsid w:val="00EF2CD9"/>
    <w:rsid w:val="00F4317E"/>
    <w:rsid w:val="00F566F5"/>
    <w:rsid w:val="00F66F90"/>
    <w:rsid w:val="00F71916"/>
    <w:rsid w:val="00FA30B2"/>
    <w:rsid w:val="00FA558C"/>
    <w:rsid w:val="019F03AF"/>
    <w:rsid w:val="026E6F9B"/>
    <w:rsid w:val="042E4240"/>
    <w:rsid w:val="043F33E1"/>
    <w:rsid w:val="043F68D7"/>
    <w:rsid w:val="044A18D2"/>
    <w:rsid w:val="056D37C0"/>
    <w:rsid w:val="0602282F"/>
    <w:rsid w:val="07425DED"/>
    <w:rsid w:val="0744651C"/>
    <w:rsid w:val="0858227F"/>
    <w:rsid w:val="0C395974"/>
    <w:rsid w:val="0CF87B45"/>
    <w:rsid w:val="0DA42E01"/>
    <w:rsid w:val="0DBE4C33"/>
    <w:rsid w:val="0ED87454"/>
    <w:rsid w:val="0F840E63"/>
    <w:rsid w:val="0FAA1562"/>
    <w:rsid w:val="0FD05584"/>
    <w:rsid w:val="0FD82974"/>
    <w:rsid w:val="10246D3B"/>
    <w:rsid w:val="108C6F6A"/>
    <w:rsid w:val="13C321BC"/>
    <w:rsid w:val="13EC2EB3"/>
    <w:rsid w:val="13F55A16"/>
    <w:rsid w:val="14902DA1"/>
    <w:rsid w:val="174C0DD0"/>
    <w:rsid w:val="175A02AD"/>
    <w:rsid w:val="1851699E"/>
    <w:rsid w:val="18D345E2"/>
    <w:rsid w:val="197916C0"/>
    <w:rsid w:val="1A042BE6"/>
    <w:rsid w:val="1AAA084B"/>
    <w:rsid w:val="1BC577D4"/>
    <w:rsid w:val="1BD70E4A"/>
    <w:rsid w:val="1C481D32"/>
    <w:rsid w:val="1DC77C7B"/>
    <w:rsid w:val="1DF02676"/>
    <w:rsid w:val="200812B8"/>
    <w:rsid w:val="213034F3"/>
    <w:rsid w:val="23EF5A7E"/>
    <w:rsid w:val="241366F8"/>
    <w:rsid w:val="25FF5A12"/>
    <w:rsid w:val="27306BBE"/>
    <w:rsid w:val="280A0277"/>
    <w:rsid w:val="290F5B33"/>
    <w:rsid w:val="2AE75F8C"/>
    <w:rsid w:val="2C0C397E"/>
    <w:rsid w:val="2CA176F9"/>
    <w:rsid w:val="2D796670"/>
    <w:rsid w:val="2FD011F0"/>
    <w:rsid w:val="30F339B0"/>
    <w:rsid w:val="327A2C6E"/>
    <w:rsid w:val="32A16B2E"/>
    <w:rsid w:val="33C80819"/>
    <w:rsid w:val="33E75E23"/>
    <w:rsid w:val="358928BC"/>
    <w:rsid w:val="35923CEC"/>
    <w:rsid w:val="35C15EB7"/>
    <w:rsid w:val="382036A4"/>
    <w:rsid w:val="38431D54"/>
    <w:rsid w:val="386022F8"/>
    <w:rsid w:val="3A7A6201"/>
    <w:rsid w:val="3B953202"/>
    <w:rsid w:val="3C030630"/>
    <w:rsid w:val="3C3420E0"/>
    <w:rsid w:val="3C4F73C3"/>
    <w:rsid w:val="3D5E64FC"/>
    <w:rsid w:val="3D9A375F"/>
    <w:rsid w:val="3DA66681"/>
    <w:rsid w:val="3E282129"/>
    <w:rsid w:val="3E745CB4"/>
    <w:rsid w:val="3F6319AA"/>
    <w:rsid w:val="406B29D9"/>
    <w:rsid w:val="410D1152"/>
    <w:rsid w:val="431C7ECF"/>
    <w:rsid w:val="43F40045"/>
    <w:rsid w:val="44EE42A6"/>
    <w:rsid w:val="45A51807"/>
    <w:rsid w:val="462C0419"/>
    <w:rsid w:val="46C964F9"/>
    <w:rsid w:val="46DC584E"/>
    <w:rsid w:val="479E0D55"/>
    <w:rsid w:val="48883AB9"/>
    <w:rsid w:val="495824C9"/>
    <w:rsid w:val="49E72718"/>
    <w:rsid w:val="4AC35A30"/>
    <w:rsid w:val="4B441C14"/>
    <w:rsid w:val="4BE410E8"/>
    <w:rsid w:val="4C6A2854"/>
    <w:rsid w:val="4E9B111C"/>
    <w:rsid w:val="4F1D4C56"/>
    <w:rsid w:val="4F2C11A4"/>
    <w:rsid w:val="4FD0569C"/>
    <w:rsid w:val="517603C4"/>
    <w:rsid w:val="53362CD3"/>
    <w:rsid w:val="533C3307"/>
    <w:rsid w:val="54155142"/>
    <w:rsid w:val="5513699C"/>
    <w:rsid w:val="55BE0FBF"/>
    <w:rsid w:val="55F03558"/>
    <w:rsid w:val="55F60501"/>
    <w:rsid w:val="56013440"/>
    <w:rsid w:val="56B24EFD"/>
    <w:rsid w:val="56EA3B5A"/>
    <w:rsid w:val="5757401D"/>
    <w:rsid w:val="59290080"/>
    <w:rsid w:val="599177E6"/>
    <w:rsid w:val="5A2E4D23"/>
    <w:rsid w:val="5C850D8A"/>
    <w:rsid w:val="5DB27279"/>
    <w:rsid w:val="5E523E81"/>
    <w:rsid w:val="5E96454F"/>
    <w:rsid w:val="5F990D5A"/>
    <w:rsid w:val="5F994D1A"/>
    <w:rsid w:val="60504F4E"/>
    <w:rsid w:val="61025BDC"/>
    <w:rsid w:val="61A54136"/>
    <w:rsid w:val="62C530ED"/>
    <w:rsid w:val="63480EE2"/>
    <w:rsid w:val="63B500A7"/>
    <w:rsid w:val="63F4407E"/>
    <w:rsid w:val="63FC0E86"/>
    <w:rsid w:val="64147252"/>
    <w:rsid w:val="648F3D4A"/>
    <w:rsid w:val="64CC0A7F"/>
    <w:rsid w:val="65EB7C08"/>
    <w:rsid w:val="65FB6DED"/>
    <w:rsid w:val="664A6DD5"/>
    <w:rsid w:val="66FA5C61"/>
    <w:rsid w:val="67057933"/>
    <w:rsid w:val="68D16EEC"/>
    <w:rsid w:val="68E05754"/>
    <w:rsid w:val="68F33F67"/>
    <w:rsid w:val="692D1AE1"/>
    <w:rsid w:val="6ACD532A"/>
    <w:rsid w:val="6CDB3AF0"/>
    <w:rsid w:val="6CE8644B"/>
    <w:rsid w:val="6D124B44"/>
    <w:rsid w:val="6E2E1C95"/>
    <w:rsid w:val="6E5A744C"/>
    <w:rsid w:val="6F011A46"/>
    <w:rsid w:val="6F014186"/>
    <w:rsid w:val="6F4768AA"/>
    <w:rsid w:val="6FA43FFF"/>
    <w:rsid w:val="701929BF"/>
    <w:rsid w:val="710A4EBF"/>
    <w:rsid w:val="71637021"/>
    <w:rsid w:val="72497D4D"/>
    <w:rsid w:val="72613FE3"/>
    <w:rsid w:val="72B42F9C"/>
    <w:rsid w:val="733925D7"/>
    <w:rsid w:val="73974E31"/>
    <w:rsid w:val="75447ABA"/>
    <w:rsid w:val="75AF3B90"/>
    <w:rsid w:val="75CB690A"/>
    <w:rsid w:val="76220476"/>
    <w:rsid w:val="766D7F52"/>
    <w:rsid w:val="772F53EB"/>
    <w:rsid w:val="7755775F"/>
    <w:rsid w:val="7A592736"/>
    <w:rsid w:val="7A997456"/>
    <w:rsid w:val="7B9A3006"/>
    <w:rsid w:val="7C0C1741"/>
    <w:rsid w:val="7C7A1EA4"/>
    <w:rsid w:val="7E747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2"/>
    <w:basedOn w:val="1"/>
    <w:next w:val="1"/>
    <w:unhideWhenUsed/>
    <w:qFormat/>
    <w:uiPriority w:val="9"/>
    <w:pPr>
      <w:keepNext/>
      <w:keepLines/>
      <w:outlineLvl w:val="1"/>
    </w:pPr>
    <w:rPr>
      <w:rFonts w:eastAsia="黑体" w:asciiTheme="majorHAnsi" w:hAnsiTheme="majorHAnsi" w:cstheme="majorBidi"/>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pPr>
  </w:style>
  <w:style w:type="paragraph" w:styleId="4">
    <w:name w:val="annotation text"/>
    <w:basedOn w:val="1"/>
    <w:semiHidden/>
    <w:unhideWhenUsed/>
    <w:qFormat/>
    <w:uiPriority w:val="0"/>
    <w:pPr>
      <w:jc w:val="left"/>
    </w:pPr>
  </w:style>
  <w:style w:type="paragraph" w:styleId="5">
    <w:name w:val="Body Text"/>
    <w:basedOn w:val="1"/>
    <w:qFormat/>
    <w:uiPriority w:val="1"/>
    <w:pPr>
      <w:ind w:left="120"/>
    </w:pPr>
    <w:rPr>
      <w:rFonts w:ascii="宋体" w:hAnsi="宋体" w:eastAsia="宋体" w:cs="宋体"/>
      <w:szCs w:val="32"/>
      <w:lang w:val="zh-CN" w:bidi="zh-CN"/>
    </w:rPr>
  </w:style>
  <w:style w:type="paragraph" w:styleId="6">
    <w:name w:val="Balloon Text"/>
    <w:basedOn w:val="1"/>
    <w:link w:val="15"/>
    <w:semiHidden/>
    <w:unhideWhenUsed/>
    <w:qFormat/>
    <w:uiPriority w:val="0"/>
    <w:pPr>
      <w:spacing w:line="240" w:lineRule="auto"/>
    </w:pPr>
    <w:rPr>
      <w:sz w:val="18"/>
      <w:szCs w:val="18"/>
    </w:rPr>
  </w:style>
  <w:style w:type="paragraph" w:styleId="7">
    <w:name w:val="footer"/>
    <w:basedOn w:val="1"/>
    <w:link w:val="13"/>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qFormat/>
    <w:uiPriority w:val="0"/>
    <w:rPr>
      <w:rFonts w:ascii="Times New Roman" w:hAnsi="Times New Roman" w:eastAsia="仿宋_GB2312" w:cstheme="minorBidi"/>
      <w:kern w:val="2"/>
      <w:sz w:val="18"/>
      <w:szCs w:val="18"/>
    </w:rPr>
  </w:style>
  <w:style w:type="character" w:customStyle="1" w:styleId="13">
    <w:name w:val="页脚 Char"/>
    <w:basedOn w:val="11"/>
    <w:link w:val="7"/>
    <w:qFormat/>
    <w:uiPriority w:val="99"/>
    <w:rPr>
      <w:rFonts w:ascii="Times New Roman" w:hAnsi="Times New Roman" w:eastAsia="仿宋_GB2312" w:cstheme="minorBidi"/>
      <w:kern w:val="2"/>
      <w:sz w:val="18"/>
      <w:szCs w:val="18"/>
    </w:rPr>
  </w:style>
  <w:style w:type="paragraph" w:styleId="14">
    <w:name w:val="List Paragraph"/>
    <w:basedOn w:val="1"/>
    <w:qFormat/>
    <w:uiPriority w:val="1"/>
    <w:pPr>
      <w:spacing w:before="130"/>
      <w:ind w:left="1560" w:hanging="801"/>
    </w:pPr>
    <w:rPr>
      <w:rFonts w:ascii="宋体" w:hAnsi="宋体" w:eastAsia="宋体" w:cs="宋体"/>
      <w:lang w:val="zh-CN" w:bidi="zh-CN"/>
    </w:rPr>
  </w:style>
  <w:style w:type="character" w:customStyle="1" w:styleId="15">
    <w:name w:val="批注框文本 Char"/>
    <w:basedOn w:val="11"/>
    <w:link w:val="6"/>
    <w:semiHidden/>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D4BC-9D3B-441C-B30B-1EA381729CCC}">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9</Pages>
  <Words>4232</Words>
  <Characters>4332</Characters>
  <Lines>31</Lines>
  <Paragraphs>8</Paragraphs>
  <TotalTime>5</TotalTime>
  <ScaleCrop>false</ScaleCrop>
  <LinksUpToDate>false</LinksUpToDate>
  <CharactersWithSpaces>4335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2020-01-20T22:20:00Z</dcterms:created>
  <dc:creator>统睿彭</dc:creator>
  <cp:lastModifiedBy>Ann</cp:lastModifiedBy>
  <cp:lastPrinted>2021-08-26T02:17:00Z</cp:lastPrinted>
  <dcterms:modified xsi:type="dcterms:W3CDTF">2022-05-30T00:45:47Z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BDD288A65E2B4FA590E4C2814647B8C4</vt:lpwstr>
  </property>
</Properties>
</file>